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83CC3" w14:textId="77777777" w:rsidR="006C2BFB" w:rsidRDefault="00000000">
      <w:pPr>
        <w:pStyle w:val="Heading1"/>
        <w:spacing w:before="240" w:after="240" w:line="240" w:lineRule="auto"/>
        <w:jc w:val="center"/>
        <w:rPr>
          <w:rFonts w:ascii="Montserrat" w:eastAsia="Montserrat" w:hAnsi="Montserrat" w:cs="Montserrat"/>
        </w:rPr>
      </w:pPr>
      <w:bookmarkStart w:id="0" w:name="_qpdzrdngo6z4"/>
      <w:bookmarkEnd w:id="0"/>
      <w:r>
        <w:rPr>
          <w:rFonts w:ascii="Montserrat" w:eastAsia="Montserrat" w:hAnsi="Montserrat" w:cs="Montserrat"/>
        </w:rPr>
        <w:t xml:space="preserve">METANOIA SYMPOSIUM 2025 </w:t>
      </w:r>
    </w:p>
    <w:p w14:paraId="0BAFF04A" w14:textId="77777777" w:rsidR="006C2BFB" w:rsidRDefault="00000000">
      <w:pPr>
        <w:pStyle w:val="Heading2"/>
        <w:spacing w:line="240" w:lineRule="auto"/>
        <w:jc w:val="center"/>
        <w:rPr>
          <w:rFonts w:ascii="Montserrat" w:eastAsia="Montserrat" w:hAnsi="Montserrat" w:cs="Montserrat"/>
        </w:rPr>
      </w:pPr>
      <w:bookmarkStart w:id="1" w:name="_8exviiju73ps"/>
      <w:bookmarkEnd w:id="1"/>
      <w:r>
        <w:rPr>
          <w:rFonts w:ascii="Montserrat" w:eastAsia="Montserrat" w:hAnsi="Montserrat" w:cs="Montserrat"/>
        </w:rPr>
        <w:t>Call for Papers</w:t>
      </w:r>
    </w:p>
    <w:p w14:paraId="77A20CA3" w14:textId="77777777" w:rsidR="006C2BFB" w:rsidRDefault="00000000">
      <w:pPr>
        <w:pStyle w:val="Heading3"/>
        <w:spacing w:before="240" w:after="240"/>
        <w:jc w:val="center"/>
      </w:pPr>
      <w:bookmarkStart w:id="2" w:name="_o1ahisolf826"/>
      <w:bookmarkEnd w:id="2"/>
      <w:r>
        <w:t>The Center for Metanoia Studies invites submissions for its Second Annual Symposium on the themes of (1) the Religious Analogy of Conversion in Non-Religious Contexts and (2) Measuring Transformations.</w:t>
      </w:r>
    </w:p>
    <w:p w14:paraId="0B98F895" w14:textId="3759CF52" w:rsidR="006C2BFB" w:rsidRPr="00370560" w:rsidRDefault="00000000" w:rsidP="00ED3B2A">
      <w:pPr>
        <w:rPr>
          <w:rFonts w:asciiTheme="majorHAnsi" w:hAnsiTheme="majorHAnsi" w:cstheme="majorHAnsi"/>
          <w:sz w:val="24"/>
          <w:szCs w:val="24"/>
        </w:rPr>
      </w:pPr>
      <w:r>
        <w:rPr>
          <w:noProof/>
        </w:rPr>
        <mc:AlternateContent>
          <mc:Choice Requires="wpg">
            <w:drawing>
              <wp:inline distT="0" distB="0" distL="0" distR="0" wp14:anchorId="04452DA5" wp14:editId="6CF4D12B">
                <wp:extent cx="0" cy="19050"/>
                <wp:effectExtent l="0" t="0" r="0" b="0"/>
                <wp:docPr id="2" name="Rectangle 2"/>
                <wp:cNvGraphicFramePr/>
                <a:graphic xmlns:a="http://schemas.openxmlformats.org/drawingml/2006/main">
                  <a:graphicData uri="http://schemas.microsoft.com/office/word/2010/wordprocessingShape">
                    <wps:wsp>
                      <wps:cNvSpPr/>
                      <wps:spPr bwMode="auto">
                        <a:xfrm>
                          <a:off x="0" y="0"/>
                          <a:ext cx="0" cy="19050"/>
                        </a:xfrm>
                        <a:prstGeom prst="rect">
                          <a:avLst/>
                        </a:prstGeom>
                        <a:solidFill>
                          <a:srgbClr val="A0A0A0"/>
                        </a:solidFill>
                        <a:ln>
                          <a:noFill/>
                        </a:ln>
                      </wps:spPr>
                      <wps:bodyPr rot="0">
                        <a:prstTxWarp prst="textNoShape">
                          <a:avLst/>
                        </a:prstTxWarp>
                        <a:noAutofit/>
                      </wps:bodyPr>
                    </wps:wsp>
                  </a:graphicData>
                </a:graphic>
              </wp:inline>
            </w:drawing>
          </mc:Choice>
          <mc:Fallback xmlns:a="http://schemas.openxmlformats.org/drawingml/2006/main">
            <w:pict>
              <v:shape id="shape 1" o:spid="_x0000_s1" o:spt="1" type="#_x0000_t1" style="width:0.00pt;height:1.50pt;mso-wrap-distance-left:0.00pt;mso-wrap-distance-top:0.00pt;mso-wrap-distance-right:0.00pt;mso-wrap-distance-bottom:0.00pt;visibility:visible;" fillcolor="#A0A0A0" stroked="f"/>
            </w:pict>
          </mc:Fallback>
        </mc:AlternateContent>
      </w:r>
      <w:r w:rsidRPr="00370560">
        <w:rPr>
          <w:rFonts w:asciiTheme="majorHAnsi" w:hAnsiTheme="majorHAnsi" w:cstheme="majorHAnsi"/>
          <w:b/>
          <w:sz w:val="24"/>
          <w:szCs w:val="24"/>
        </w:rPr>
        <w:t xml:space="preserve">Location: </w:t>
      </w:r>
      <w:r w:rsidRPr="00370560">
        <w:rPr>
          <w:rFonts w:asciiTheme="majorHAnsi" w:hAnsiTheme="majorHAnsi" w:cstheme="majorHAnsi"/>
          <w:sz w:val="24"/>
          <w:szCs w:val="24"/>
        </w:rPr>
        <w:t>All Souls College, Oxford</w:t>
      </w:r>
    </w:p>
    <w:p w14:paraId="0685309E" w14:textId="77777777" w:rsidR="006C2BFB" w:rsidRPr="00370560" w:rsidRDefault="00000000">
      <w:pPr>
        <w:spacing w:before="240" w:after="240"/>
        <w:rPr>
          <w:rFonts w:asciiTheme="majorHAnsi" w:hAnsiTheme="majorHAnsi" w:cstheme="majorHAnsi"/>
          <w:sz w:val="24"/>
          <w:szCs w:val="24"/>
        </w:rPr>
      </w:pPr>
      <w:r w:rsidRPr="00370560">
        <w:rPr>
          <w:rFonts w:asciiTheme="majorHAnsi" w:hAnsiTheme="majorHAnsi" w:cstheme="majorHAnsi"/>
          <w:b/>
          <w:sz w:val="24"/>
          <w:szCs w:val="24"/>
        </w:rPr>
        <w:t xml:space="preserve">Dates: </w:t>
      </w:r>
      <w:r w:rsidRPr="00370560">
        <w:rPr>
          <w:rFonts w:asciiTheme="majorHAnsi" w:hAnsiTheme="majorHAnsi" w:cstheme="majorHAnsi"/>
          <w:sz w:val="24"/>
          <w:szCs w:val="24"/>
        </w:rPr>
        <w:t xml:space="preserve">15-16 </w:t>
      </w:r>
      <w:proofErr w:type="gramStart"/>
      <w:r w:rsidRPr="00370560">
        <w:rPr>
          <w:rFonts w:asciiTheme="majorHAnsi" w:hAnsiTheme="majorHAnsi" w:cstheme="majorHAnsi"/>
          <w:sz w:val="24"/>
          <w:szCs w:val="24"/>
        </w:rPr>
        <w:t>December,</w:t>
      </w:r>
      <w:proofErr w:type="gramEnd"/>
      <w:r w:rsidRPr="00370560">
        <w:rPr>
          <w:rFonts w:asciiTheme="majorHAnsi" w:hAnsiTheme="majorHAnsi" w:cstheme="majorHAnsi"/>
          <w:sz w:val="24"/>
          <w:szCs w:val="24"/>
        </w:rPr>
        <w:t xml:space="preserve"> 2025</w:t>
      </w:r>
    </w:p>
    <w:p w14:paraId="3EA6D1A0" w14:textId="3D0D48EC" w:rsidR="006C2BFB" w:rsidRPr="00370560" w:rsidRDefault="00000000">
      <w:pPr>
        <w:spacing w:before="240" w:after="240"/>
        <w:rPr>
          <w:rFonts w:asciiTheme="majorHAnsi" w:hAnsiTheme="majorHAnsi" w:cstheme="majorHAnsi"/>
          <w:sz w:val="24"/>
          <w:szCs w:val="24"/>
        </w:rPr>
      </w:pPr>
      <w:r w:rsidRPr="00370560">
        <w:rPr>
          <w:rFonts w:asciiTheme="majorHAnsi" w:hAnsiTheme="majorHAnsi" w:cstheme="majorHAnsi"/>
          <w:b/>
          <w:sz w:val="24"/>
          <w:szCs w:val="24"/>
        </w:rPr>
        <w:t xml:space="preserve">Costs: </w:t>
      </w:r>
      <w:r w:rsidR="00370560" w:rsidRPr="00370560">
        <w:rPr>
          <w:rFonts w:asciiTheme="majorHAnsi" w:hAnsiTheme="majorHAnsi" w:cstheme="majorHAnsi"/>
          <w:sz w:val="24"/>
          <w:szCs w:val="24"/>
        </w:rPr>
        <w:t xml:space="preserve">There is no registration fee. </w:t>
      </w:r>
      <w:r w:rsidRPr="00370560">
        <w:rPr>
          <w:rFonts w:asciiTheme="majorHAnsi" w:hAnsiTheme="majorHAnsi" w:cstheme="majorHAnsi"/>
          <w:sz w:val="24"/>
          <w:szCs w:val="24"/>
        </w:rPr>
        <w:t xml:space="preserve">The Center </w:t>
      </w:r>
      <w:r w:rsidR="004F48AA" w:rsidRPr="00370560">
        <w:rPr>
          <w:rFonts w:asciiTheme="majorHAnsi" w:hAnsiTheme="majorHAnsi" w:cstheme="majorHAnsi"/>
          <w:sz w:val="24"/>
          <w:szCs w:val="24"/>
        </w:rPr>
        <w:t>can</w:t>
      </w:r>
      <w:r w:rsidRPr="00370560">
        <w:rPr>
          <w:rFonts w:asciiTheme="majorHAnsi" w:hAnsiTheme="majorHAnsi" w:cstheme="majorHAnsi"/>
          <w:sz w:val="24"/>
          <w:szCs w:val="24"/>
        </w:rPr>
        <w:t xml:space="preserve"> provide a limited number of bursaries to cover the costs of travel and/or accommodation. </w:t>
      </w:r>
    </w:p>
    <w:p w14:paraId="34E40FA8" w14:textId="694FC202" w:rsidR="006C2BFB" w:rsidRPr="00B124C0" w:rsidRDefault="00000000" w:rsidP="00B124C0">
      <w:pPr>
        <w:rPr>
          <w:rFonts w:asciiTheme="majorHAnsi" w:hAnsiTheme="majorHAnsi" w:cstheme="majorHAnsi"/>
          <w:b/>
          <w:sz w:val="24"/>
          <w:szCs w:val="24"/>
        </w:rPr>
      </w:pPr>
      <w:r w:rsidRPr="00370560">
        <w:rPr>
          <w:rFonts w:asciiTheme="majorHAnsi" w:hAnsiTheme="majorHAnsi" w:cstheme="majorHAnsi"/>
          <w:b/>
          <w:sz w:val="24"/>
          <w:szCs w:val="24"/>
        </w:rPr>
        <w:t>Submission Instructions</w:t>
      </w:r>
      <w:r w:rsidR="00B124C0">
        <w:rPr>
          <w:rFonts w:asciiTheme="majorHAnsi" w:hAnsiTheme="majorHAnsi" w:cstheme="majorHAnsi"/>
          <w:b/>
          <w:sz w:val="24"/>
          <w:szCs w:val="24"/>
        </w:rPr>
        <w:t xml:space="preserve">: </w:t>
      </w:r>
      <w:r w:rsidRPr="00370560">
        <w:rPr>
          <w:rFonts w:asciiTheme="majorHAnsi" w:hAnsiTheme="majorHAnsi" w:cstheme="majorHAnsi"/>
          <w:sz w:val="24"/>
          <w:szCs w:val="24"/>
        </w:rPr>
        <w:t xml:space="preserve">We welcome submissions from scholars across all disciplines (philosophy, anthropology, sociology, history, psychology, law, theology and religious studies, and beyond) as well as practitioners working in relevant settings such as schooling, psychotherapy, pastoral ministry, prisons, visual, literary, and performative arts, and others. </w:t>
      </w:r>
    </w:p>
    <w:p w14:paraId="6E2C9F35" w14:textId="77777777" w:rsidR="00370560" w:rsidRPr="00370560" w:rsidRDefault="00370560" w:rsidP="00370560">
      <w:pPr>
        <w:ind w:left="285"/>
        <w:rPr>
          <w:rFonts w:asciiTheme="majorHAnsi" w:hAnsiTheme="majorHAnsi" w:cstheme="majorHAnsi"/>
          <w:sz w:val="24"/>
          <w:szCs w:val="24"/>
        </w:rPr>
      </w:pPr>
    </w:p>
    <w:p w14:paraId="2C397201" w14:textId="77777777" w:rsidR="006C2BFB" w:rsidRPr="00370560" w:rsidRDefault="00000000" w:rsidP="00B124C0">
      <w:pPr>
        <w:rPr>
          <w:rFonts w:asciiTheme="majorHAnsi" w:hAnsiTheme="majorHAnsi" w:cstheme="majorHAnsi"/>
          <w:b/>
          <w:sz w:val="24"/>
          <w:szCs w:val="24"/>
        </w:rPr>
      </w:pPr>
      <w:r w:rsidRPr="00370560">
        <w:rPr>
          <w:rFonts w:asciiTheme="majorHAnsi" w:hAnsiTheme="majorHAnsi" w:cstheme="majorHAnsi"/>
          <w:sz w:val="24"/>
          <w:szCs w:val="24"/>
        </w:rPr>
        <w:t xml:space="preserve">Please submit your proposals via the </w:t>
      </w:r>
      <w:hyperlink r:id="rId7" w:tooltip="https://metanoiastudies.org/metanoia-symposium-2025-proposal-submission-form/" w:history="1">
        <w:r w:rsidRPr="00370560">
          <w:rPr>
            <w:rStyle w:val="Hyperlink"/>
            <w:rFonts w:asciiTheme="majorHAnsi" w:hAnsiTheme="majorHAnsi" w:cstheme="majorHAnsi"/>
            <w:sz w:val="24"/>
            <w:szCs w:val="24"/>
          </w:rPr>
          <w:t>online platform</w:t>
        </w:r>
      </w:hyperlink>
      <w:r w:rsidRPr="00370560">
        <w:rPr>
          <w:rFonts w:asciiTheme="majorHAnsi" w:hAnsiTheme="majorHAnsi" w:cstheme="majorHAnsi"/>
          <w:sz w:val="24"/>
          <w:szCs w:val="24"/>
        </w:rPr>
        <w:t>.</w:t>
      </w:r>
    </w:p>
    <w:p w14:paraId="32D75F44" w14:textId="77777777" w:rsidR="006C2BFB" w:rsidRPr="00370560" w:rsidRDefault="00000000" w:rsidP="00B124C0">
      <w:pPr>
        <w:numPr>
          <w:ilvl w:val="0"/>
          <w:numId w:val="1"/>
        </w:numPr>
        <w:ind w:left="437"/>
        <w:rPr>
          <w:rFonts w:asciiTheme="majorHAnsi" w:hAnsiTheme="majorHAnsi" w:cstheme="majorHAnsi"/>
          <w:sz w:val="24"/>
          <w:szCs w:val="24"/>
        </w:rPr>
      </w:pPr>
      <w:proofErr w:type="gramStart"/>
      <w:r w:rsidRPr="00370560">
        <w:rPr>
          <w:rFonts w:asciiTheme="majorHAnsi" w:hAnsiTheme="majorHAnsi" w:cstheme="majorHAnsi"/>
          <w:sz w:val="24"/>
          <w:szCs w:val="24"/>
        </w:rPr>
        <w:t>500 word</w:t>
      </w:r>
      <w:proofErr w:type="gramEnd"/>
      <w:r w:rsidRPr="00370560">
        <w:rPr>
          <w:rFonts w:asciiTheme="majorHAnsi" w:hAnsiTheme="majorHAnsi" w:cstheme="majorHAnsi"/>
          <w:sz w:val="24"/>
          <w:szCs w:val="24"/>
        </w:rPr>
        <w:t xml:space="preserve"> proposal submission deadline: 16 June 2025</w:t>
      </w:r>
    </w:p>
    <w:p w14:paraId="0B6E7173" w14:textId="77777777" w:rsidR="006C2BFB" w:rsidRPr="00370560" w:rsidRDefault="00000000" w:rsidP="00B124C0">
      <w:pPr>
        <w:numPr>
          <w:ilvl w:val="0"/>
          <w:numId w:val="1"/>
        </w:numPr>
        <w:ind w:left="437"/>
        <w:rPr>
          <w:rFonts w:asciiTheme="majorHAnsi" w:hAnsiTheme="majorHAnsi" w:cstheme="majorHAnsi"/>
          <w:sz w:val="24"/>
          <w:szCs w:val="24"/>
        </w:rPr>
      </w:pPr>
      <w:r w:rsidRPr="00370560">
        <w:rPr>
          <w:rFonts w:asciiTheme="majorHAnsi" w:hAnsiTheme="majorHAnsi" w:cstheme="majorHAnsi"/>
          <w:sz w:val="24"/>
          <w:szCs w:val="24"/>
        </w:rPr>
        <w:t>Full paper submission deadline (for accepted proposals): 8 December 2025</w:t>
      </w:r>
    </w:p>
    <w:p w14:paraId="46B21B47" w14:textId="68F5B36F" w:rsidR="006C2BFB" w:rsidRPr="00370560" w:rsidRDefault="00370560" w:rsidP="00B124C0">
      <w:pPr>
        <w:spacing w:before="240" w:after="240"/>
        <w:rPr>
          <w:rFonts w:asciiTheme="majorHAnsi" w:hAnsiTheme="majorHAnsi" w:cstheme="majorHAnsi"/>
          <w:sz w:val="24"/>
          <w:szCs w:val="24"/>
        </w:rPr>
      </w:pPr>
      <w:r w:rsidRPr="00370560">
        <w:rPr>
          <w:rFonts w:asciiTheme="majorHAnsi" w:hAnsiTheme="majorHAnsi" w:cstheme="majorHAnsi"/>
          <w:b/>
          <w:sz w:val="24"/>
          <w:szCs w:val="24"/>
        </w:rPr>
        <w:t>Organization and committee</w:t>
      </w:r>
      <w:r w:rsidR="00B124C0" w:rsidRPr="009A03B0">
        <w:rPr>
          <w:rFonts w:asciiTheme="majorHAnsi" w:hAnsiTheme="majorHAnsi" w:cstheme="majorHAnsi"/>
          <w:b/>
          <w:sz w:val="24"/>
          <w:szCs w:val="24"/>
        </w:rPr>
        <w:t xml:space="preserve">: </w:t>
      </w:r>
      <w:r w:rsidR="00000000" w:rsidRPr="009A03B0">
        <w:rPr>
          <w:rFonts w:asciiTheme="majorHAnsi" w:hAnsiTheme="majorHAnsi" w:cstheme="majorHAnsi"/>
          <w:sz w:val="24"/>
          <w:szCs w:val="24"/>
        </w:rPr>
        <w:t xml:space="preserve">The symposium is </w:t>
      </w:r>
      <w:r w:rsidRPr="009A03B0">
        <w:rPr>
          <w:rFonts w:asciiTheme="majorHAnsi" w:hAnsiTheme="majorHAnsi" w:cstheme="majorHAnsi"/>
          <w:sz w:val="24"/>
          <w:szCs w:val="24"/>
        </w:rPr>
        <w:t>organized</w:t>
      </w:r>
      <w:r w:rsidR="00000000" w:rsidRPr="009A03B0">
        <w:rPr>
          <w:rFonts w:asciiTheme="majorHAnsi" w:hAnsiTheme="majorHAnsi" w:cstheme="majorHAnsi"/>
          <w:sz w:val="24"/>
          <w:szCs w:val="24"/>
        </w:rPr>
        <w:t xml:space="preserve"> by the </w:t>
      </w:r>
      <w:hyperlink r:id="rId8" w:tooltip="https://metanoiastudies.org/" w:history="1">
        <w:r w:rsidR="00000000" w:rsidRPr="009A03B0">
          <w:rPr>
            <w:rFonts w:asciiTheme="majorHAnsi" w:hAnsiTheme="majorHAnsi" w:cstheme="majorHAnsi"/>
            <w:color w:val="1155CC"/>
            <w:sz w:val="24"/>
            <w:szCs w:val="24"/>
            <w:u w:val="single"/>
          </w:rPr>
          <w:t>Center for Metanoia Studies</w:t>
        </w:r>
      </w:hyperlink>
      <w:r w:rsidR="00B124C0" w:rsidRPr="009A03B0">
        <w:rPr>
          <w:rFonts w:asciiTheme="majorHAnsi" w:hAnsiTheme="majorHAnsi" w:cstheme="majorHAnsi"/>
          <w:sz w:val="24"/>
          <w:szCs w:val="24"/>
        </w:rPr>
        <w:t xml:space="preserve">. </w:t>
      </w:r>
      <w:r w:rsidR="00000000" w:rsidRPr="00370560">
        <w:rPr>
          <w:rFonts w:asciiTheme="majorHAnsi" w:hAnsiTheme="majorHAnsi" w:cstheme="majorHAnsi"/>
          <w:sz w:val="24"/>
          <w:szCs w:val="24"/>
        </w:rPr>
        <w:t>The symposium committee</w:t>
      </w:r>
      <w:r w:rsidR="00B124C0">
        <w:rPr>
          <w:rFonts w:asciiTheme="majorHAnsi" w:hAnsiTheme="majorHAnsi" w:cstheme="majorHAnsi"/>
          <w:sz w:val="24"/>
          <w:szCs w:val="24"/>
        </w:rPr>
        <w:t xml:space="preserve"> is composed of:</w:t>
      </w:r>
    </w:p>
    <w:p w14:paraId="145510C7" w14:textId="77777777" w:rsidR="006C2BFB" w:rsidRPr="00B124C0" w:rsidRDefault="00000000" w:rsidP="00B124C0">
      <w:pPr>
        <w:ind w:left="720"/>
        <w:rPr>
          <w:rFonts w:asciiTheme="majorHAnsi" w:hAnsiTheme="majorHAnsi" w:cstheme="majorHAnsi"/>
          <w:sz w:val="24"/>
          <w:szCs w:val="24"/>
          <w:highlight w:val="white"/>
        </w:rPr>
      </w:pPr>
      <w:r w:rsidRPr="00B124C0">
        <w:rPr>
          <w:rFonts w:asciiTheme="majorHAnsi" w:hAnsiTheme="majorHAnsi" w:cstheme="majorHAnsi"/>
          <w:sz w:val="24"/>
          <w:szCs w:val="24"/>
          <w:highlight w:val="white"/>
        </w:rPr>
        <w:t>Pieter Francois, University of Oxford</w:t>
      </w:r>
    </w:p>
    <w:p w14:paraId="1E7150E7" w14:textId="77777777" w:rsidR="006C2BFB" w:rsidRPr="00B124C0" w:rsidRDefault="00000000" w:rsidP="00B124C0">
      <w:pPr>
        <w:ind w:left="720"/>
        <w:rPr>
          <w:rFonts w:asciiTheme="majorHAnsi" w:hAnsiTheme="majorHAnsi" w:cstheme="majorHAnsi"/>
          <w:sz w:val="24"/>
          <w:szCs w:val="24"/>
          <w:highlight w:val="white"/>
        </w:rPr>
      </w:pPr>
      <w:r w:rsidRPr="00B124C0">
        <w:rPr>
          <w:rFonts w:asciiTheme="majorHAnsi" w:hAnsiTheme="majorHAnsi" w:cstheme="majorHAnsi"/>
          <w:sz w:val="24"/>
          <w:szCs w:val="24"/>
          <w:highlight w:val="white"/>
        </w:rPr>
        <w:t>Ruth Harris, University of Oxford</w:t>
      </w:r>
    </w:p>
    <w:p w14:paraId="7C3960A4" w14:textId="77777777" w:rsidR="006C2BFB" w:rsidRPr="00B124C0" w:rsidRDefault="00000000" w:rsidP="00B124C0">
      <w:pPr>
        <w:ind w:left="720"/>
        <w:rPr>
          <w:rFonts w:asciiTheme="majorHAnsi" w:hAnsiTheme="majorHAnsi" w:cstheme="majorHAnsi"/>
          <w:sz w:val="24"/>
          <w:szCs w:val="24"/>
        </w:rPr>
      </w:pPr>
      <w:r w:rsidRPr="00B124C0">
        <w:rPr>
          <w:rFonts w:asciiTheme="majorHAnsi" w:hAnsiTheme="majorHAnsi" w:cstheme="majorHAnsi"/>
          <w:sz w:val="24"/>
          <w:szCs w:val="24"/>
        </w:rPr>
        <w:t xml:space="preserve">Alexis de La </w:t>
      </w:r>
      <w:proofErr w:type="spellStart"/>
      <w:r w:rsidRPr="00B124C0">
        <w:rPr>
          <w:rFonts w:asciiTheme="majorHAnsi" w:hAnsiTheme="majorHAnsi" w:cstheme="majorHAnsi"/>
          <w:sz w:val="24"/>
          <w:szCs w:val="24"/>
        </w:rPr>
        <w:t>Ferrière</w:t>
      </w:r>
      <w:proofErr w:type="spellEnd"/>
      <w:r w:rsidRPr="00B124C0">
        <w:rPr>
          <w:rFonts w:asciiTheme="majorHAnsi" w:hAnsiTheme="majorHAnsi" w:cstheme="majorHAnsi"/>
          <w:sz w:val="24"/>
          <w:szCs w:val="24"/>
        </w:rPr>
        <w:t>, University of London</w:t>
      </w:r>
    </w:p>
    <w:p w14:paraId="403D72A8" w14:textId="17A5A8C6" w:rsidR="006C2BFB" w:rsidRPr="00B124C0" w:rsidRDefault="00000000" w:rsidP="00B124C0">
      <w:pPr>
        <w:ind w:left="720"/>
        <w:rPr>
          <w:rFonts w:asciiTheme="majorHAnsi" w:hAnsiTheme="majorHAnsi" w:cstheme="majorHAnsi"/>
          <w:sz w:val="24"/>
          <w:szCs w:val="24"/>
        </w:rPr>
      </w:pPr>
      <w:r w:rsidRPr="00B124C0">
        <w:rPr>
          <w:rFonts w:asciiTheme="majorHAnsi" w:hAnsiTheme="majorHAnsi" w:cstheme="majorHAnsi"/>
          <w:sz w:val="24"/>
          <w:szCs w:val="24"/>
        </w:rPr>
        <w:t>Charles Mercier, University of Bordeaux</w:t>
      </w:r>
      <w:r w:rsidR="009A03B0">
        <w:rPr>
          <w:rFonts w:asciiTheme="majorHAnsi" w:hAnsiTheme="majorHAnsi" w:cstheme="majorHAnsi"/>
          <w:sz w:val="24"/>
          <w:szCs w:val="24"/>
        </w:rPr>
        <w:t xml:space="preserve"> </w:t>
      </w:r>
    </w:p>
    <w:p w14:paraId="27123D8D" w14:textId="77777777" w:rsidR="009A03B0" w:rsidRDefault="00000000" w:rsidP="00B124C0">
      <w:pPr>
        <w:ind w:left="720"/>
        <w:rPr>
          <w:rFonts w:asciiTheme="majorHAnsi" w:hAnsiTheme="majorHAnsi" w:cstheme="majorHAnsi"/>
          <w:sz w:val="24"/>
          <w:szCs w:val="24"/>
        </w:rPr>
      </w:pPr>
      <w:r w:rsidRPr="00B124C0">
        <w:rPr>
          <w:rFonts w:asciiTheme="majorHAnsi" w:hAnsiTheme="majorHAnsi" w:cstheme="majorHAnsi"/>
          <w:sz w:val="24"/>
          <w:szCs w:val="24"/>
        </w:rPr>
        <w:t>Gauthier Simon, University of Bordeaux</w:t>
      </w:r>
    </w:p>
    <w:p w14:paraId="0CFE6CEE" w14:textId="77777777" w:rsidR="009A03B0" w:rsidRDefault="009A03B0" w:rsidP="00B124C0">
      <w:pPr>
        <w:ind w:left="720"/>
        <w:rPr>
          <w:rFonts w:asciiTheme="majorHAnsi" w:hAnsiTheme="majorHAnsi" w:cstheme="majorHAnsi"/>
          <w:sz w:val="24"/>
          <w:szCs w:val="24"/>
        </w:rPr>
      </w:pPr>
    </w:p>
    <w:p w14:paraId="3D9E101F" w14:textId="33CB6AEA" w:rsidR="009A03B0" w:rsidRDefault="009A03B0" w:rsidP="009A03B0">
      <w:pPr>
        <w:rPr>
          <w:rFonts w:asciiTheme="majorHAnsi" w:hAnsiTheme="majorHAnsi" w:cstheme="majorHAnsi"/>
          <w:sz w:val="24"/>
          <w:szCs w:val="24"/>
        </w:rPr>
      </w:pPr>
      <w:r>
        <w:rPr>
          <w:rFonts w:asciiTheme="majorHAnsi" w:hAnsiTheme="majorHAnsi" w:cstheme="majorHAnsi"/>
          <w:sz w:val="24"/>
          <w:szCs w:val="24"/>
        </w:rPr>
        <w:t xml:space="preserve">Please direct any questions to </w:t>
      </w:r>
      <w:hyperlink r:id="rId9" w:history="1">
        <w:r w:rsidRPr="004E2BED">
          <w:rPr>
            <w:rStyle w:val="Hyperlink"/>
            <w:rFonts w:asciiTheme="majorHAnsi" w:hAnsiTheme="majorHAnsi" w:cstheme="majorHAnsi"/>
            <w:sz w:val="24"/>
            <w:szCs w:val="24"/>
          </w:rPr>
          <w:t>alexis.delaferriere@gmail.com</w:t>
        </w:r>
      </w:hyperlink>
    </w:p>
    <w:p w14:paraId="148B01A9" w14:textId="77777777" w:rsidR="009A03B0" w:rsidRDefault="009A03B0">
      <w:pPr>
        <w:rPr>
          <w:rFonts w:asciiTheme="majorHAnsi" w:hAnsiTheme="majorHAnsi" w:cstheme="majorHAnsi"/>
          <w:sz w:val="24"/>
          <w:szCs w:val="24"/>
        </w:rPr>
      </w:pPr>
      <w:r>
        <w:rPr>
          <w:rFonts w:asciiTheme="majorHAnsi" w:hAnsiTheme="majorHAnsi" w:cstheme="majorHAnsi"/>
          <w:sz w:val="24"/>
          <w:szCs w:val="24"/>
        </w:rPr>
        <w:br w:type="page"/>
      </w:r>
    </w:p>
    <w:p w14:paraId="05A8AE86" w14:textId="77777777" w:rsidR="006C2BFB" w:rsidRPr="00370560" w:rsidRDefault="00000000">
      <w:pPr>
        <w:spacing w:before="240" w:after="240"/>
        <w:rPr>
          <w:rFonts w:asciiTheme="majorHAnsi" w:hAnsiTheme="majorHAnsi" w:cstheme="majorHAnsi"/>
          <w:b/>
          <w:sz w:val="28"/>
          <w:szCs w:val="28"/>
        </w:rPr>
      </w:pPr>
      <w:r w:rsidRPr="00370560">
        <w:rPr>
          <w:rFonts w:asciiTheme="majorHAnsi" w:hAnsiTheme="majorHAnsi" w:cstheme="majorHAnsi"/>
          <w:b/>
          <w:sz w:val="28"/>
          <w:szCs w:val="28"/>
        </w:rPr>
        <w:lastRenderedPageBreak/>
        <w:t xml:space="preserve">Why Metanoia Studies? </w:t>
      </w:r>
    </w:p>
    <w:p w14:paraId="333BF970" w14:textId="77777777" w:rsidR="006C2BFB" w:rsidRPr="00370560" w:rsidRDefault="00000000" w:rsidP="00370560">
      <w:pPr>
        <w:spacing w:before="240" w:after="240"/>
        <w:jc w:val="both"/>
        <w:rPr>
          <w:rFonts w:asciiTheme="majorHAnsi" w:hAnsiTheme="majorHAnsi" w:cstheme="majorHAnsi"/>
        </w:rPr>
      </w:pPr>
      <w:r w:rsidRPr="00370560">
        <w:rPr>
          <w:rFonts w:asciiTheme="majorHAnsi" w:hAnsiTheme="majorHAnsi" w:cstheme="majorHAnsi"/>
        </w:rPr>
        <w:t xml:space="preserve">Pierre </w:t>
      </w:r>
      <w:proofErr w:type="spellStart"/>
      <w:r w:rsidRPr="00370560">
        <w:rPr>
          <w:rFonts w:asciiTheme="majorHAnsi" w:hAnsiTheme="majorHAnsi" w:cstheme="majorHAnsi"/>
        </w:rPr>
        <w:t>Hadot</w:t>
      </w:r>
      <w:proofErr w:type="spellEnd"/>
      <w:r w:rsidRPr="00370560">
        <w:rPr>
          <w:rFonts w:asciiTheme="majorHAnsi" w:hAnsiTheme="majorHAnsi" w:cstheme="majorHAnsi"/>
        </w:rPr>
        <w:t xml:space="preserve"> (1968) held that “the idea of conversion represents one of the constitutive notions of Western consciousness and conscience. In effect, one can represent the whole history of the West as a ceaseless effort at renewal by perfecting the techniques of conversion, which is to say the techniques intended to transform human reality.” The evolving meaning of metanoia tracks the gradual development of this central notion over the centuries. Literally meaning “after-thought”, classical Greek rhetoricians spoke of metanoia to describe a persuasive figure of speech in which the speaker takes back an earlier statement and replaces it with a new one to reinforce their point. In doing so, the speaker performs a change of heart, but the change occurs in their words rather than in their </w:t>
      </w:r>
      <w:r w:rsidRPr="004F48AA">
        <w:rPr>
          <w:rFonts w:asciiTheme="majorHAnsi" w:hAnsiTheme="majorHAnsi" w:cstheme="majorHAnsi"/>
          <w:i/>
          <w:iCs/>
        </w:rPr>
        <w:t xml:space="preserve">forum </w:t>
      </w:r>
      <w:proofErr w:type="spellStart"/>
      <w:r w:rsidRPr="004F48AA">
        <w:rPr>
          <w:rFonts w:asciiTheme="majorHAnsi" w:hAnsiTheme="majorHAnsi" w:cstheme="majorHAnsi"/>
          <w:i/>
          <w:iCs/>
        </w:rPr>
        <w:t>internum</w:t>
      </w:r>
      <w:proofErr w:type="spellEnd"/>
      <w:r w:rsidRPr="004F48AA">
        <w:rPr>
          <w:rFonts w:asciiTheme="majorHAnsi" w:hAnsiTheme="majorHAnsi" w:cstheme="majorHAnsi"/>
          <w:i/>
          <w:iCs/>
        </w:rPr>
        <w:t xml:space="preserve"> </w:t>
      </w:r>
      <w:r w:rsidRPr="00370560">
        <w:rPr>
          <w:rFonts w:asciiTheme="majorHAnsi" w:hAnsiTheme="majorHAnsi" w:cstheme="majorHAnsi"/>
        </w:rPr>
        <w:t>– still, if effective, it may effect a change within the listener.</w:t>
      </w:r>
    </w:p>
    <w:p w14:paraId="1EDCFE5A" w14:textId="77777777" w:rsidR="006C2BFB" w:rsidRPr="00ED3B2A" w:rsidRDefault="00000000" w:rsidP="00370560">
      <w:pPr>
        <w:spacing w:before="240" w:after="240"/>
        <w:jc w:val="both"/>
        <w:rPr>
          <w:rFonts w:asciiTheme="majorHAnsi" w:hAnsiTheme="majorHAnsi" w:cstheme="majorHAnsi"/>
        </w:rPr>
      </w:pPr>
      <w:r w:rsidRPr="00ED3B2A">
        <w:rPr>
          <w:rFonts w:asciiTheme="majorHAnsi" w:hAnsiTheme="majorHAnsi" w:cstheme="majorHAnsi"/>
        </w:rPr>
        <w:t>The advent of Christianity brought a new emphasis on individual interiority, the ethical imperative for personal conversion, and the central idea of rebirth through a change of ethos. Under the Christian influence, metanoia came to signify an act of substitution of “the old sinful being with a new personal identity—an ethos that is defined by a penitent relation to the self” (</w:t>
      </w:r>
      <w:proofErr w:type="spellStart"/>
      <w:r w:rsidRPr="00ED3B2A">
        <w:rPr>
          <w:rFonts w:asciiTheme="majorHAnsi" w:hAnsiTheme="majorHAnsi" w:cstheme="majorHAnsi"/>
        </w:rPr>
        <w:t>Ellwanger</w:t>
      </w:r>
      <w:proofErr w:type="spellEnd"/>
      <w:r w:rsidRPr="00ED3B2A">
        <w:rPr>
          <w:rFonts w:asciiTheme="majorHAnsi" w:hAnsiTheme="majorHAnsi" w:cstheme="majorHAnsi"/>
        </w:rPr>
        <w:t xml:space="preserve">, 2020). How is such a thing possible? That is of course Nicodemus’s question in John’s Gospel when Jesus tells him that a person must be “born again”. And it is a question which continues to animate us today, </w:t>
      </w:r>
      <w:proofErr w:type="gramStart"/>
      <w:r w:rsidRPr="00ED3B2A">
        <w:rPr>
          <w:rFonts w:asciiTheme="majorHAnsi" w:hAnsiTheme="majorHAnsi" w:cstheme="majorHAnsi"/>
        </w:rPr>
        <w:t>whether or not</w:t>
      </w:r>
      <w:proofErr w:type="gramEnd"/>
      <w:r w:rsidRPr="00ED3B2A">
        <w:rPr>
          <w:rFonts w:asciiTheme="majorHAnsi" w:hAnsiTheme="majorHAnsi" w:cstheme="majorHAnsi"/>
        </w:rPr>
        <w:t xml:space="preserve"> we phrase it in overtly Christian terms.</w:t>
      </w:r>
    </w:p>
    <w:p w14:paraId="1F16932C" w14:textId="77777777" w:rsidR="006C2BFB" w:rsidRPr="00ED3B2A" w:rsidRDefault="00000000" w:rsidP="00370560">
      <w:pPr>
        <w:spacing w:before="240" w:after="240"/>
        <w:jc w:val="both"/>
        <w:rPr>
          <w:rFonts w:asciiTheme="majorHAnsi" w:hAnsiTheme="majorHAnsi" w:cstheme="majorHAnsi"/>
        </w:rPr>
      </w:pPr>
      <w:r w:rsidRPr="00ED3B2A">
        <w:rPr>
          <w:rFonts w:asciiTheme="majorHAnsi" w:hAnsiTheme="majorHAnsi" w:cstheme="majorHAnsi"/>
        </w:rPr>
        <w:t>The process of radical personal transformation can be observed in a variety of contexts, such as religious and political conversion, ideological change, criminal desistance, and radicalization. These processes involve complex interactions between internal psychological and spiritual factors and external social and environmental factors. For example, work on cognitive and emotional transformation and the construction of meaning (</w:t>
      </w:r>
      <w:proofErr w:type="spellStart"/>
      <w:r w:rsidRPr="00ED3B2A">
        <w:rPr>
          <w:rFonts w:asciiTheme="majorHAnsi" w:hAnsiTheme="majorHAnsi" w:cstheme="majorHAnsi"/>
        </w:rPr>
        <w:t>Garcet</w:t>
      </w:r>
      <w:proofErr w:type="spellEnd"/>
      <w:r w:rsidRPr="00ED3B2A">
        <w:rPr>
          <w:rFonts w:asciiTheme="majorHAnsi" w:hAnsiTheme="majorHAnsi" w:cstheme="majorHAnsi"/>
        </w:rPr>
        <w:t>, 2021) shows how individuals adopt radical beliefs or become involved in extremist movements, often motivated by personal uncertainties and perceived injustices (</w:t>
      </w:r>
      <w:proofErr w:type="spellStart"/>
      <w:r w:rsidRPr="00ED3B2A">
        <w:rPr>
          <w:rFonts w:asciiTheme="majorHAnsi" w:hAnsiTheme="majorHAnsi" w:cstheme="majorHAnsi"/>
        </w:rPr>
        <w:t>Doosje</w:t>
      </w:r>
      <w:proofErr w:type="spellEnd"/>
      <w:r w:rsidRPr="00ED3B2A">
        <w:rPr>
          <w:rFonts w:asciiTheme="majorHAnsi" w:hAnsiTheme="majorHAnsi" w:cstheme="majorHAnsi"/>
        </w:rPr>
        <w:t xml:space="preserve"> et al., 2013). Transformative experiences can profoundly alter an individual’s knowledge, values, and perspectives (</w:t>
      </w:r>
      <w:proofErr w:type="spellStart"/>
      <w:r w:rsidRPr="00ED3B2A">
        <w:rPr>
          <w:rFonts w:asciiTheme="majorHAnsi" w:hAnsiTheme="majorHAnsi" w:cstheme="majorHAnsi"/>
        </w:rPr>
        <w:t>Arvan</w:t>
      </w:r>
      <w:proofErr w:type="spellEnd"/>
      <w:r w:rsidRPr="00ED3B2A">
        <w:rPr>
          <w:rFonts w:asciiTheme="majorHAnsi" w:hAnsiTheme="majorHAnsi" w:cstheme="majorHAnsi"/>
        </w:rPr>
        <w:t xml:space="preserve">, 2020; </w:t>
      </w:r>
      <w:proofErr w:type="spellStart"/>
      <w:r w:rsidRPr="00ED3B2A">
        <w:rPr>
          <w:rFonts w:asciiTheme="majorHAnsi" w:hAnsiTheme="majorHAnsi" w:cstheme="majorHAnsi"/>
        </w:rPr>
        <w:t>Brieley</w:t>
      </w:r>
      <w:proofErr w:type="spellEnd"/>
      <w:r w:rsidRPr="00ED3B2A">
        <w:rPr>
          <w:rFonts w:asciiTheme="majorHAnsi" w:hAnsiTheme="majorHAnsi" w:cstheme="majorHAnsi"/>
        </w:rPr>
        <w:t>, 2023). Research into personal transformation and metanoia also raises questions about the notion of a “true self” that might be discovered through deliberate spiritual practice (Nouwen, 1991) or through the stages of individuation (Jung, 1951) or self-actualization (Rogers, 1961; Maslow, 1962). Others have questioned the conditions under which personal identification can be said to persist through change (Locke, 1690; Parfitt, 1984).</w:t>
      </w:r>
    </w:p>
    <w:p w14:paraId="4018B59C" w14:textId="77777777" w:rsidR="006C2BFB" w:rsidRPr="00ED3B2A" w:rsidRDefault="00000000" w:rsidP="00370560">
      <w:pPr>
        <w:spacing w:before="240" w:after="240"/>
        <w:jc w:val="both"/>
        <w:rPr>
          <w:rFonts w:asciiTheme="majorHAnsi" w:hAnsiTheme="majorHAnsi" w:cstheme="majorHAnsi"/>
        </w:rPr>
      </w:pPr>
      <w:r w:rsidRPr="00ED3B2A">
        <w:rPr>
          <w:rFonts w:asciiTheme="majorHAnsi" w:hAnsiTheme="majorHAnsi" w:cstheme="majorHAnsi"/>
        </w:rPr>
        <w:t xml:space="preserve">On a collective scale, radical transformations encompass phenomena such as the Christian transformation of Europe (Holland, 2019), the Cultural Revolution in China (Jiang, 1997; </w:t>
      </w:r>
      <w:proofErr w:type="spellStart"/>
      <w:r w:rsidRPr="00ED3B2A">
        <w:rPr>
          <w:rFonts w:asciiTheme="majorHAnsi" w:hAnsiTheme="majorHAnsi" w:cstheme="majorHAnsi"/>
        </w:rPr>
        <w:t>MacFarquhar</w:t>
      </w:r>
      <w:proofErr w:type="spellEnd"/>
      <w:r w:rsidRPr="00ED3B2A">
        <w:rPr>
          <w:rFonts w:asciiTheme="majorHAnsi" w:hAnsiTheme="majorHAnsi" w:cstheme="majorHAnsi"/>
        </w:rPr>
        <w:t xml:space="preserve">, R. &amp; </w:t>
      </w:r>
      <w:proofErr w:type="spellStart"/>
      <w:r w:rsidRPr="00ED3B2A">
        <w:rPr>
          <w:rFonts w:asciiTheme="majorHAnsi" w:hAnsiTheme="majorHAnsi" w:cstheme="majorHAnsi"/>
        </w:rPr>
        <w:t>Schoenhals</w:t>
      </w:r>
      <w:proofErr w:type="spellEnd"/>
      <w:r w:rsidRPr="00ED3B2A">
        <w:rPr>
          <w:rFonts w:asciiTheme="majorHAnsi" w:hAnsiTheme="majorHAnsi" w:cstheme="majorHAnsi"/>
          <w:b/>
        </w:rPr>
        <w:t xml:space="preserve">, </w:t>
      </w:r>
      <w:r w:rsidRPr="00ED3B2A">
        <w:rPr>
          <w:rFonts w:asciiTheme="majorHAnsi" w:hAnsiTheme="majorHAnsi" w:cstheme="majorHAnsi"/>
        </w:rPr>
        <w:t>2006) or the Nazi Cultural Revolution (</w:t>
      </w:r>
      <w:proofErr w:type="spellStart"/>
      <w:r w:rsidRPr="00ED3B2A">
        <w:rPr>
          <w:rFonts w:asciiTheme="majorHAnsi" w:hAnsiTheme="majorHAnsi" w:cstheme="majorHAnsi"/>
        </w:rPr>
        <w:t>Chapoutot</w:t>
      </w:r>
      <w:proofErr w:type="spellEnd"/>
      <w:r w:rsidRPr="00ED3B2A">
        <w:rPr>
          <w:rFonts w:asciiTheme="majorHAnsi" w:hAnsiTheme="majorHAnsi" w:cstheme="majorHAnsi"/>
        </w:rPr>
        <w:t>, 2017). These revolutionary movements show how radical social transformations can redefine cultural norms and practices, permanently affecting social structures and collective attitudes (Drury &amp; Reicher, 2000). These moments of rupture are often associated with the idea of “the birth of the new man” in the socialist (Marx &amp; Engels, 1845; Trotsky, 1937; Zedong, 1940), fascist (Gentile, 1916) and Nazi (Rosenberg, 1930) repertoires, describing either a transformative change in living people, or a seismic generational shift in norms and attitudes. At the same time, some revisionist historians have challenged the identification of revolutions with radical change, stressing instead the dynamics of social inertia and continuity over time (Furet, 1978; Doyle, 1980).</w:t>
      </w:r>
    </w:p>
    <w:p w14:paraId="0EFBE51C" w14:textId="363D2168" w:rsidR="006C2BFB" w:rsidRPr="00ED3B2A" w:rsidRDefault="00000000" w:rsidP="00370560">
      <w:pPr>
        <w:spacing w:before="240" w:after="240"/>
        <w:jc w:val="both"/>
        <w:rPr>
          <w:rFonts w:asciiTheme="majorHAnsi" w:hAnsiTheme="majorHAnsi" w:cstheme="majorHAnsi"/>
        </w:rPr>
      </w:pPr>
      <w:r w:rsidRPr="00ED3B2A">
        <w:rPr>
          <w:rFonts w:asciiTheme="majorHAnsi" w:hAnsiTheme="majorHAnsi" w:cstheme="majorHAnsi"/>
        </w:rPr>
        <w:lastRenderedPageBreak/>
        <w:t xml:space="preserve">With an aim to develop and </w:t>
      </w:r>
      <w:r w:rsidR="004F48AA" w:rsidRPr="00ED3B2A">
        <w:rPr>
          <w:rFonts w:asciiTheme="majorHAnsi" w:hAnsiTheme="majorHAnsi" w:cstheme="majorHAnsi"/>
        </w:rPr>
        <w:t>synthesize</w:t>
      </w:r>
      <w:r w:rsidRPr="00ED3B2A">
        <w:rPr>
          <w:rFonts w:asciiTheme="majorHAnsi" w:hAnsiTheme="majorHAnsi" w:cstheme="majorHAnsi"/>
        </w:rPr>
        <w:t xml:space="preserve"> these diverse lines of inquiry, this year’s Metanoia Symposium will explore two main themes detailed below.</w:t>
      </w:r>
    </w:p>
    <w:p w14:paraId="709128ED" w14:textId="77777777" w:rsidR="006C2BFB" w:rsidRPr="00370560" w:rsidRDefault="00000000" w:rsidP="00370560">
      <w:pPr>
        <w:spacing w:before="280"/>
        <w:rPr>
          <w:rFonts w:asciiTheme="majorHAnsi" w:hAnsiTheme="majorHAnsi" w:cstheme="majorHAnsi"/>
          <w:b/>
          <w:sz w:val="28"/>
          <w:szCs w:val="28"/>
        </w:rPr>
      </w:pPr>
      <w:r w:rsidRPr="00370560">
        <w:rPr>
          <w:rFonts w:asciiTheme="majorHAnsi" w:hAnsiTheme="majorHAnsi" w:cstheme="majorHAnsi"/>
          <w:b/>
          <w:sz w:val="28"/>
          <w:szCs w:val="28"/>
        </w:rPr>
        <w:t>Theme 1: The Religious Analogy of Conversion in Non-Religious Contexts</w:t>
      </w:r>
    </w:p>
    <w:p w14:paraId="0BDC106D" w14:textId="77777777" w:rsidR="006C2BFB" w:rsidRPr="00ED3B2A" w:rsidRDefault="00000000" w:rsidP="00370560">
      <w:pPr>
        <w:spacing w:before="240" w:after="240"/>
        <w:jc w:val="both"/>
        <w:rPr>
          <w:rFonts w:asciiTheme="majorHAnsi" w:hAnsiTheme="majorHAnsi" w:cstheme="majorHAnsi"/>
        </w:rPr>
      </w:pPr>
      <w:r w:rsidRPr="00ED3B2A">
        <w:rPr>
          <w:rFonts w:asciiTheme="majorHAnsi" w:hAnsiTheme="majorHAnsi" w:cstheme="majorHAnsi"/>
        </w:rPr>
        <w:t xml:space="preserve">Religious metaphors have long haunted the social and human sciences, from Marx's description of capitalism as a form of primitive totemic religion (1867) to Yuri </w:t>
      </w:r>
      <w:proofErr w:type="spellStart"/>
      <w:r w:rsidRPr="00ED3B2A">
        <w:rPr>
          <w:rFonts w:asciiTheme="majorHAnsi" w:hAnsiTheme="majorHAnsi" w:cstheme="majorHAnsi"/>
        </w:rPr>
        <w:t>Slezkine’s</w:t>
      </w:r>
      <w:proofErr w:type="spellEnd"/>
      <w:r w:rsidRPr="00ED3B2A">
        <w:rPr>
          <w:rFonts w:asciiTheme="majorHAnsi" w:hAnsiTheme="majorHAnsi" w:cstheme="majorHAnsi"/>
        </w:rPr>
        <w:t xml:space="preserve"> analysis of the “religious fervor” of communist revolutionaries (2017). This is also true in the fields of politics and the media, on both sides of the political discourse; for example, commentators on the right have used religious analogies to delegitimize the “woke” movement (</w:t>
      </w:r>
      <w:proofErr w:type="spellStart"/>
      <w:r w:rsidRPr="00ED3B2A">
        <w:rPr>
          <w:rFonts w:asciiTheme="majorHAnsi" w:hAnsiTheme="majorHAnsi" w:cstheme="majorHAnsi"/>
        </w:rPr>
        <w:t>Dejean</w:t>
      </w:r>
      <w:proofErr w:type="spellEnd"/>
      <w:r w:rsidRPr="00ED3B2A">
        <w:rPr>
          <w:rFonts w:asciiTheme="majorHAnsi" w:hAnsiTheme="majorHAnsi" w:cstheme="majorHAnsi"/>
        </w:rPr>
        <w:t>, 2022) or climate concerns (Woods et al. 2012), whilst those on the left have described neoliberalism as a religion (</w:t>
      </w:r>
      <w:proofErr w:type="spellStart"/>
      <w:r w:rsidRPr="00ED3B2A">
        <w:rPr>
          <w:rFonts w:asciiTheme="majorHAnsi" w:hAnsiTheme="majorHAnsi" w:cstheme="majorHAnsi"/>
        </w:rPr>
        <w:t>Mavelli</w:t>
      </w:r>
      <w:proofErr w:type="spellEnd"/>
      <w:r w:rsidRPr="00ED3B2A">
        <w:rPr>
          <w:rFonts w:asciiTheme="majorHAnsi" w:hAnsiTheme="majorHAnsi" w:cstheme="majorHAnsi"/>
        </w:rPr>
        <w:t>, 2019), as well as rightwing “panics” as “witch-hunts” against “folk-devils” (Cohen [1972] described the behavior of conservatives in religious terms that have since been widely successful in the political space ; see as well Hutchins-</w:t>
      </w:r>
      <w:proofErr w:type="spellStart"/>
      <w:r w:rsidRPr="00ED3B2A">
        <w:rPr>
          <w:rFonts w:asciiTheme="majorHAnsi" w:hAnsiTheme="majorHAnsi" w:cstheme="majorHAnsi"/>
        </w:rPr>
        <w:t>Viroux</w:t>
      </w:r>
      <w:proofErr w:type="spellEnd"/>
      <w:r w:rsidRPr="00ED3B2A">
        <w:rPr>
          <w:rFonts w:asciiTheme="majorHAnsi" w:hAnsiTheme="majorHAnsi" w:cstheme="majorHAnsi"/>
        </w:rPr>
        <w:t xml:space="preserve">, 2008). This is particularly true for the theme of conversion:  religious vocabularies and frameworks are often used metaphorically to describe transformation experiences pertaining to commitment, outlook, or ethos in domains not typically considered religious. Examples include ideological change on specific issues such as abortion (Layman &amp; </w:t>
      </w:r>
      <w:proofErr w:type="spellStart"/>
      <w:r w:rsidRPr="00ED3B2A">
        <w:rPr>
          <w:rFonts w:asciiTheme="majorHAnsi" w:hAnsiTheme="majorHAnsi" w:cstheme="majorHAnsi"/>
        </w:rPr>
        <w:t>Carsey</w:t>
      </w:r>
      <w:proofErr w:type="spellEnd"/>
      <w:r w:rsidRPr="00ED3B2A">
        <w:rPr>
          <w:rFonts w:asciiTheme="majorHAnsi" w:hAnsiTheme="majorHAnsi" w:cstheme="majorHAnsi"/>
        </w:rPr>
        <w:t xml:space="preserve">, 1998; 1999) and feminism (Yang et al., 2022), political party affiliation switching (Clark et al., 1991), life trajectories of radical political activists (Linden &amp; </w:t>
      </w:r>
      <w:proofErr w:type="spellStart"/>
      <w:r w:rsidRPr="00ED3B2A">
        <w:rPr>
          <w:rFonts w:asciiTheme="majorHAnsi" w:hAnsiTheme="majorHAnsi" w:cstheme="majorHAnsi"/>
        </w:rPr>
        <w:t>Klandermans</w:t>
      </w:r>
      <w:proofErr w:type="spellEnd"/>
      <w:r w:rsidRPr="00ED3B2A">
        <w:rPr>
          <w:rFonts w:asciiTheme="majorHAnsi" w:hAnsiTheme="majorHAnsi" w:cstheme="majorHAnsi"/>
        </w:rPr>
        <w:t>, 2007; Raynaud, 2017), sexual orientation change efforts (Davison &amp; Walden, 2024), environmentalism (</w:t>
      </w:r>
      <w:proofErr w:type="spellStart"/>
      <w:r w:rsidRPr="00ED3B2A">
        <w:rPr>
          <w:rFonts w:asciiTheme="majorHAnsi" w:hAnsiTheme="majorHAnsi" w:cstheme="majorHAnsi"/>
        </w:rPr>
        <w:t>Schauffler</w:t>
      </w:r>
      <w:proofErr w:type="spellEnd"/>
      <w:r w:rsidRPr="00ED3B2A">
        <w:rPr>
          <w:rFonts w:asciiTheme="majorHAnsi" w:hAnsiTheme="majorHAnsi" w:cstheme="majorHAnsi"/>
        </w:rPr>
        <w:t>, 2003), management development (Peters, 1997), and shifts in values (</w:t>
      </w:r>
      <w:proofErr w:type="spellStart"/>
      <w:r w:rsidRPr="00ED3B2A">
        <w:rPr>
          <w:rFonts w:asciiTheme="majorHAnsi" w:hAnsiTheme="majorHAnsi" w:cstheme="majorHAnsi"/>
          <w:color w:val="222222"/>
          <w:highlight w:val="white"/>
        </w:rPr>
        <w:t>Tjeltveit</w:t>
      </w:r>
      <w:proofErr w:type="spellEnd"/>
      <w:r w:rsidRPr="00ED3B2A">
        <w:rPr>
          <w:rFonts w:asciiTheme="majorHAnsi" w:hAnsiTheme="majorHAnsi" w:cstheme="majorHAnsi"/>
          <w:color w:val="222222"/>
          <w:highlight w:val="white"/>
        </w:rPr>
        <w:t xml:space="preserve">, 1986) </w:t>
      </w:r>
      <w:r w:rsidRPr="00ED3B2A">
        <w:rPr>
          <w:rFonts w:asciiTheme="majorHAnsi" w:hAnsiTheme="majorHAnsi" w:cstheme="majorHAnsi"/>
        </w:rPr>
        <w:t xml:space="preserve">or morality (Mac </w:t>
      </w:r>
      <w:r w:rsidRPr="00ED3B2A">
        <w:rPr>
          <w:rFonts w:asciiTheme="majorHAnsi" w:hAnsiTheme="majorHAnsi" w:cstheme="majorHAnsi"/>
          <w:color w:val="202122"/>
          <w:highlight w:val="white"/>
        </w:rPr>
        <w:t>Laughlin, 2008)</w:t>
      </w:r>
      <w:r w:rsidRPr="00ED3B2A">
        <w:rPr>
          <w:rFonts w:asciiTheme="majorHAnsi" w:hAnsiTheme="majorHAnsi" w:cstheme="majorHAnsi"/>
        </w:rPr>
        <w:t xml:space="preserve">.  </w:t>
      </w:r>
    </w:p>
    <w:p w14:paraId="146ED0AF" w14:textId="77777777" w:rsidR="006C2BFB" w:rsidRPr="00ED3B2A" w:rsidRDefault="00000000" w:rsidP="00370560">
      <w:pPr>
        <w:spacing w:before="240" w:after="240"/>
        <w:jc w:val="both"/>
        <w:rPr>
          <w:rFonts w:asciiTheme="majorHAnsi" w:hAnsiTheme="majorHAnsi" w:cstheme="majorHAnsi"/>
        </w:rPr>
      </w:pPr>
      <w:r w:rsidRPr="00ED3B2A">
        <w:rPr>
          <w:rFonts w:asciiTheme="majorHAnsi" w:hAnsiTheme="majorHAnsi" w:cstheme="majorHAnsi"/>
        </w:rPr>
        <w:t xml:space="preserve">Contributors are invited to approach this phenomenon from an </w:t>
      </w:r>
      <w:r w:rsidRPr="00ED3B2A">
        <w:rPr>
          <w:rFonts w:asciiTheme="majorHAnsi" w:hAnsiTheme="majorHAnsi" w:cstheme="majorHAnsi"/>
          <w:b/>
        </w:rPr>
        <w:t>empirical perspective (</w:t>
      </w:r>
      <w:r w:rsidRPr="00ED3B2A">
        <w:rPr>
          <w:rFonts w:asciiTheme="majorHAnsi" w:hAnsiTheme="majorHAnsi" w:cstheme="majorHAnsi"/>
        </w:rPr>
        <w:t xml:space="preserve">studying religious analogies applied to past and contemporary contexts) or from a </w:t>
      </w:r>
      <w:r w:rsidRPr="00ED3B2A">
        <w:rPr>
          <w:rFonts w:asciiTheme="majorHAnsi" w:hAnsiTheme="majorHAnsi" w:cstheme="majorHAnsi"/>
          <w:b/>
        </w:rPr>
        <w:t>theoretical perspective</w:t>
      </w:r>
      <w:r w:rsidRPr="00ED3B2A">
        <w:rPr>
          <w:rFonts w:asciiTheme="majorHAnsi" w:hAnsiTheme="majorHAnsi" w:cstheme="majorHAnsi"/>
        </w:rPr>
        <w:t xml:space="preserve"> (analyzing the value, limits, and implications of such analogies (</w:t>
      </w:r>
      <w:proofErr w:type="spellStart"/>
      <w:r w:rsidRPr="00ED3B2A">
        <w:rPr>
          <w:rFonts w:asciiTheme="majorHAnsi" w:hAnsiTheme="majorHAnsi" w:cstheme="majorHAnsi"/>
        </w:rPr>
        <w:t>Heinich</w:t>
      </w:r>
      <w:proofErr w:type="spellEnd"/>
      <w:r w:rsidRPr="00ED3B2A">
        <w:rPr>
          <w:rFonts w:asciiTheme="majorHAnsi" w:hAnsiTheme="majorHAnsi" w:cstheme="majorHAnsi"/>
        </w:rPr>
        <w:t>, 2014)). Both perspectives should aim at an operationalization of religious analogy, seeking to better define the epistemic strengths and weaknesses of this discursive device. Contributions combining the two perspectives (e.g. by integrating a reflexive dimension in an empirical study) are also welcome.</w:t>
      </w:r>
    </w:p>
    <w:p w14:paraId="7A488E0E" w14:textId="7E95A9A0" w:rsidR="006C2BFB" w:rsidRPr="00ED3B2A" w:rsidRDefault="00000000" w:rsidP="00370560">
      <w:pPr>
        <w:spacing w:before="240" w:after="240"/>
        <w:jc w:val="both"/>
        <w:rPr>
          <w:rFonts w:asciiTheme="majorHAnsi" w:hAnsiTheme="majorHAnsi" w:cstheme="majorHAnsi"/>
        </w:rPr>
      </w:pPr>
      <w:r w:rsidRPr="00ED3B2A">
        <w:rPr>
          <w:rFonts w:asciiTheme="majorHAnsi" w:hAnsiTheme="majorHAnsi" w:cstheme="majorHAnsi"/>
          <w:b/>
        </w:rPr>
        <w:t>Empirical questions</w:t>
      </w:r>
      <w:r w:rsidRPr="00ED3B2A">
        <w:rPr>
          <w:rFonts w:asciiTheme="majorHAnsi" w:hAnsiTheme="majorHAnsi" w:cstheme="majorHAnsi"/>
        </w:rPr>
        <w:t xml:space="preserve"> of interest include but are not limited to: What are the current and historical non-religious areas in which religious analogies have been employed? Who are the protagonists (emitters, receivers, and objects) of these </w:t>
      </w:r>
      <w:r w:rsidR="004F48AA" w:rsidRPr="00ED3B2A">
        <w:rPr>
          <w:rFonts w:asciiTheme="majorHAnsi" w:hAnsiTheme="majorHAnsi" w:cstheme="majorHAnsi"/>
        </w:rPr>
        <w:t>analogies?</w:t>
      </w:r>
      <w:r w:rsidRPr="00ED3B2A">
        <w:rPr>
          <w:rFonts w:asciiTheme="majorHAnsi" w:hAnsiTheme="majorHAnsi" w:cstheme="majorHAnsi"/>
        </w:rPr>
        <w:t xml:space="preserve"> Are religious analogies explicitly/consciously acknowledged by the protagonists who employ them, those who receive them, or those who are described by them? Are such analogies used as secularist arguments to critique, dismiss, or delegitimize people or ideas? Or are there cases where religious analogies convey a message of empowerment or recognition? We are also interested in specific case-studies of personal transformations described in religious terms but occurring within non-religious settings such as healthcare, politics, the arts, education, etc. </w:t>
      </w:r>
    </w:p>
    <w:p w14:paraId="4C7EB009" w14:textId="6CF67648" w:rsidR="006C2BFB" w:rsidRPr="00ED3B2A" w:rsidRDefault="00000000" w:rsidP="00370560">
      <w:pPr>
        <w:spacing w:before="240" w:after="240"/>
        <w:jc w:val="both"/>
        <w:rPr>
          <w:rFonts w:asciiTheme="majorHAnsi" w:hAnsiTheme="majorHAnsi" w:cstheme="majorHAnsi"/>
        </w:rPr>
      </w:pPr>
      <w:r w:rsidRPr="00ED3B2A">
        <w:rPr>
          <w:rFonts w:asciiTheme="majorHAnsi" w:hAnsiTheme="majorHAnsi" w:cstheme="majorHAnsi"/>
          <w:b/>
        </w:rPr>
        <w:t xml:space="preserve">Theoretical proposals </w:t>
      </w:r>
      <w:r w:rsidRPr="00ED3B2A">
        <w:rPr>
          <w:rFonts w:asciiTheme="majorHAnsi" w:hAnsiTheme="majorHAnsi" w:cstheme="majorHAnsi"/>
        </w:rPr>
        <w:t xml:space="preserve">may respond to these or cognate questions: Under what </w:t>
      </w:r>
      <w:r w:rsidR="004F48AA" w:rsidRPr="00ED3B2A">
        <w:rPr>
          <w:rFonts w:asciiTheme="majorHAnsi" w:hAnsiTheme="majorHAnsi" w:cstheme="majorHAnsi"/>
        </w:rPr>
        <w:t>circumstances does</w:t>
      </w:r>
      <w:r w:rsidRPr="00ED3B2A">
        <w:rPr>
          <w:rFonts w:asciiTheme="majorHAnsi" w:hAnsiTheme="majorHAnsi" w:cstheme="majorHAnsi"/>
        </w:rPr>
        <w:t xml:space="preserve"> the use of religious analogies constitute an intellectualist “over-interpretation”, dismissing what is literally said as naive in favor of hidden, esoteric meanings never intended by the actors themselves (</w:t>
      </w:r>
      <w:proofErr w:type="spellStart"/>
      <w:r w:rsidRPr="00ED3B2A">
        <w:rPr>
          <w:rFonts w:asciiTheme="majorHAnsi" w:hAnsiTheme="majorHAnsi" w:cstheme="majorHAnsi"/>
        </w:rPr>
        <w:t>Bouveresse</w:t>
      </w:r>
      <w:proofErr w:type="spellEnd"/>
      <w:r w:rsidRPr="00ED3B2A">
        <w:rPr>
          <w:rFonts w:asciiTheme="majorHAnsi" w:hAnsiTheme="majorHAnsi" w:cstheme="majorHAnsi"/>
        </w:rPr>
        <w:t xml:space="preserve">, 1999)? Does the use of religious </w:t>
      </w:r>
      <w:r w:rsidR="004F48AA" w:rsidRPr="00ED3B2A">
        <w:rPr>
          <w:rFonts w:asciiTheme="majorHAnsi" w:hAnsiTheme="majorHAnsi" w:cstheme="majorHAnsi"/>
        </w:rPr>
        <w:t>analogies</w:t>
      </w:r>
      <w:r w:rsidRPr="00ED3B2A">
        <w:rPr>
          <w:rFonts w:asciiTheme="majorHAnsi" w:hAnsiTheme="majorHAnsi" w:cstheme="majorHAnsi"/>
        </w:rPr>
        <w:t xml:space="preserve"> risk conflating poetic </w:t>
      </w:r>
      <w:r w:rsidR="004F48AA" w:rsidRPr="00ED3B2A">
        <w:rPr>
          <w:rFonts w:asciiTheme="majorHAnsi" w:hAnsiTheme="majorHAnsi" w:cstheme="majorHAnsi"/>
        </w:rPr>
        <w:t>analogies</w:t>
      </w:r>
      <w:r w:rsidRPr="00ED3B2A">
        <w:rPr>
          <w:rFonts w:asciiTheme="majorHAnsi" w:hAnsiTheme="majorHAnsi" w:cstheme="majorHAnsi"/>
        </w:rPr>
        <w:t xml:space="preserve"> with analytic comparisons, creating evocative images rather than building explanatory frameworks (</w:t>
      </w:r>
      <w:proofErr w:type="spellStart"/>
      <w:r w:rsidRPr="00ED3B2A">
        <w:rPr>
          <w:rFonts w:asciiTheme="majorHAnsi" w:hAnsiTheme="majorHAnsi" w:cstheme="majorHAnsi"/>
        </w:rPr>
        <w:t>Veyne</w:t>
      </w:r>
      <w:proofErr w:type="spellEnd"/>
      <w:r w:rsidRPr="00ED3B2A">
        <w:rPr>
          <w:rFonts w:asciiTheme="majorHAnsi" w:hAnsiTheme="majorHAnsi" w:cstheme="majorHAnsi"/>
        </w:rPr>
        <w:t xml:space="preserve">, 1971)? Does the use of </w:t>
      </w:r>
      <w:r w:rsidRPr="00ED3B2A">
        <w:rPr>
          <w:rFonts w:asciiTheme="majorHAnsi" w:hAnsiTheme="majorHAnsi" w:cstheme="majorHAnsi"/>
        </w:rPr>
        <w:lastRenderedPageBreak/>
        <w:t xml:space="preserve">religious analogies privilege outward form over substance? When is the use of religious analogies a rhetorical weapon to delegitimize an opponent and when is it a heuristic tool to understand human phenomena?  Are religious analogies useful for the </w:t>
      </w:r>
      <w:r w:rsidR="004F48AA" w:rsidRPr="00ED3B2A">
        <w:rPr>
          <w:rFonts w:asciiTheme="majorHAnsi" w:hAnsiTheme="majorHAnsi" w:cstheme="majorHAnsi"/>
        </w:rPr>
        <w:t>analytic</w:t>
      </w:r>
      <w:r w:rsidRPr="00ED3B2A">
        <w:rPr>
          <w:rFonts w:asciiTheme="majorHAnsi" w:hAnsiTheme="majorHAnsi" w:cstheme="majorHAnsi"/>
        </w:rPr>
        <w:t xml:space="preserve"> </w:t>
      </w:r>
      <w:r w:rsidR="004F48AA" w:rsidRPr="00ED3B2A">
        <w:rPr>
          <w:rFonts w:asciiTheme="majorHAnsi" w:hAnsiTheme="majorHAnsi" w:cstheme="majorHAnsi"/>
        </w:rPr>
        <w:t>understanding</w:t>
      </w:r>
      <w:r w:rsidRPr="00ED3B2A">
        <w:rPr>
          <w:rFonts w:asciiTheme="majorHAnsi" w:hAnsiTheme="majorHAnsi" w:cstheme="majorHAnsi"/>
        </w:rPr>
        <w:t xml:space="preserve"> of non-religious conversion phenomena? What elements of “religion” are most used and most useful in the use of such analogies? Does the use of religious language emerge for lack of a better vocabulary, for example because a political crisis hinders the recourse to secular socio-political frameworks? How do religious analogies indirectly expose the way secular thinking—especially in its Enlightenment form—misattributes certain anthropological universals of human experience to an ill-defined category of “religion”?</w:t>
      </w:r>
    </w:p>
    <w:p w14:paraId="33343A56" w14:textId="77777777" w:rsidR="006C2BFB" w:rsidRPr="00370560" w:rsidRDefault="00000000" w:rsidP="00370560">
      <w:pPr>
        <w:spacing w:before="280"/>
        <w:jc w:val="both"/>
        <w:rPr>
          <w:rFonts w:asciiTheme="majorHAnsi" w:hAnsiTheme="majorHAnsi" w:cstheme="majorHAnsi"/>
          <w:b/>
          <w:sz w:val="28"/>
          <w:szCs w:val="28"/>
        </w:rPr>
      </w:pPr>
      <w:r w:rsidRPr="00370560">
        <w:rPr>
          <w:rFonts w:asciiTheme="majorHAnsi" w:hAnsiTheme="majorHAnsi" w:cstheme="majorHAnsi"/>
          <w:b/>
          <w:sz w:val="28"/>
          <w:szCs w:val="28"/>
        </w:rPr>
        <w:t>Theme 2: Measuring Transformations</w:t>
      </w:r>
    </w:p>
    <w:p w14:paraId="75AED2C0" w14:textId="70BEF6ED" w:rsidR="006C2BFB" w:rsidRPr="00ED3B2A" w:rsidRDefault="00000000" w:rsidP="00370560">
      <w:pPr>
        <w:spacing w:before="240" w:after="240"/>
        <w:jc w:val="both"/>
        <w:rPr>
          <w:rFonts w:asciiTheme="majorHAnsi" w:hAnsiTheme="majorHAnsi" w:cstheme="majorHAnsi"/>
        </w:rPr>
      </w:pPr>
      <w:r w:rsidRPr="00ED3B2A">
        <w:rPr>
          <w:rFonts w:asciiTheme="majorHAnsi" w:hAnsiTheme="majorHAnsi" w:cstheme="majorHAnsi"/>
        </w:rPr>
        <w:t xml:space="preserve">The social and human sciences are traversed by various epistemic mirror-oppositions (positivism vs interpretivism, explanatory analysis vs descriptive narration, behaviorism vs culturalism, etc.), many of which are expressed in the methodological polarity between qualitative and quantitative approaches. Some researchers adopt a single approach while others favor mixed methods (Creswell &amp; Plano Clark, 2017). Each approach has its own language and challenges, and the methodological critiques or controversies surrounding each of them can sometimes reach a high level of intensity, where each perspective attacks the legitimacy of the other. Andrew Abbott (2004) maps this “cycle of critique”, which consists of a series of skirmishes between small N and large N research; the lack of </w:t>
      </w:r>
      <w:r w:rsidR="004F48AA" w:rsidRPr="00ED3B2A">
        <w:rPr>
          <w:rFonts w:asciiTheme="majorHAnsi" w:hAnsiTheme="majorHAnsi" w:cstheme="majorHAnsi"/>
        </w:rPr>
        <w:t>generalizability</w:t>
      </w:r>
      <w:r w:rsidRPr="00ED3B2A">
        <w:rPr>
          <w:rFonts w:asciiTheme="majorHAnsi" w:hAnsiTheme="majorHAnsi" w:cstheme="majorHAnsi"/>
        </w:rPr>
        <w:t xml:space="preserve"> of qualitative approaches constitutes the impetus for larger sample studies, which are in turn critiqued for their lack of </w:t>
      </w:r>
      <w:r w:rsidR="004F48AA" w:rsidRPr="00ED3B2A">
        <w:rPr>
          <w:rFonts w:asciiTheme="majorHAnsi" w:hAnsiTheme="majorHAnsi" w:cstheme="majorHAnsi"/>
        </w:rPr>
        <w:t>contextualization</w:t>
      </w:r>
      <w:r w:rsidRPr="00ED3B2A">
        <w:rPr>
          <w:rFonts w:asciiTheme="majorHAnsi" w:hAnsiTheme="majorHAnsi" w:cstheme="majorHAnsi"/>
        </w:rPr>
        <w:t xml:space="preserve">. Each method thus continuously trumps all the others, though in different ways, such that “nearly </w:t>
      </w:r>
      <w:proofErr w:type="gramStart"/>
      <w:r w:rsidRPr="00ED3B2A">
        <w:rPr>
          <w:rFonts w:asciiTheme="majorHAnsi" w:hAnsiTheme="majorHAnsi" w:cstheme="majorHAnsi"/>
        </w:rPr>
        <w:t>all of</w:t>
      </w:r>
      <w:proofErr w:type="gramEnd"/>
      <w:r w:rsidRPr="00ED3B2A">
        <w:rPr>
          <w:rFonts w:asciiTheme="majorHAnsi" w:hAnsiTheme="majorHAnsi" w:cstheme="majorHAnsi"/>
        </w:rPr>
        <w:t xml:space="preserve"> these </w:t>
      </w:r>
      <w:proofErr w:type="spellStart"/>
      <w:r w:rsidRPr="00ED3B2A">
        <w:rPr>
          <w:rFonts w:asciiTheme="majorHAnsi" w:hAnsiTheme="majorHAnsi" w:cstheme="majorHAnsi"/>
        </w:rPr>
        <w:t>trumpings</w:t>
      </w:r>
      <w:proofErr w:type="spellEnd"/>
      <w:r w:rsidRPr="00ED3B2A">
        <w:rPr>
          <w:rFonts w:asciiTheme="majorHAnsi" w:hAnsiTheme="majorHAnsi" w:cstheme="majorHAnsi"/>
        </w:rPr>
        <w:t xml:space="preserve"> have been tried and have led each methodological community to forms of revisionism that try to deal with the shortcomings other communities have pointed out. These, too, complicate the methodological landscape” (ibid, p. 64). </w:t>
      </w:r>
      <w:proofErr w:type="spellStart"/>
      <w:r w:rsidRPr="00ED3B2A">
        <w:rPr>
          <w:rFonts w:asciiTheme="majorHAnsi" w:hAnsiTheme="majorHAnsi" w:cstheme="majorHAnsi"/>
        </w:rPr>
        <w:t>Donghyun</w:t>
      </w:r>
      <w:proofErr w:type="spellEnd"/>
      <w:r w:rsidRPr="00ED3B2A">
        <w:rPr>
          <w:rFonts w:asciiTheme="majorHAnsi" w:hAnsiTheme="majorHAnsi" w:cstheme="majorHAnsi"/>
        </w:rPr>
        <w:t xml:space="preserve"> Kang and James Evans (2020) lend credit to the approach in their analysis of the vocabulary used in quantitative and qualitative studies, and their results suggest that both approaches play a complementary role by valuing symmetrical opposite aspects of the scientific </w:t>
      </w:r>
      <w:r w:rsidR="004F48AA" w:rsidRPr="00ED3B2A">
        <w:rPr>
          <w:rFonts w:asciiTheme="majorHAnsi" w:hAnsiTheme="majorHAnsi" w:cstheme="majorHAnsi"/>
        </w:rPr>
        <w:t>method.</w:t>
      </w:r>
      <w:r w:rsidRPr="00ED3B2A">
        <w:rPr>
          <w:rFonts w:asciiTheme="majorHAnsi" w:hAnsiTheme="majorHAnsi" w:cstheme="majorHAnsi"/>
        </w:rPr>
        <w:t xml:space="preserve"> This complementarity is not always recognized as such by scientific actors within each field, as they tend to believe that their respective methods are inherently and objectively better or more fit to their object than the methods used in other traditions (Lamont, 2009). </w:t>
      </w:r>
    </w:p>
    <w:p w14:paraId="4ED803F7" w14:textId="3AE61568" w:rsidR="006C2BFB" w:rsidRPr="00ED3B2A" w:rsidRDefault="00000000" w:rsidP="00370560">
      <w:pPr>
        <w:jc w:val="both"/>
        <w:rPr>
          <w:rFonts w:asciiTheme="majorHAnsi" w:hAnsiTheme="majorHAnsi" w:cstheme="majorHAnsi"/>
        </w:rPr>
      </w:pPr>
      <w:r w:rsidRPr="00ED3B2A">
        <w:rPr>
          <w:rFonts w:asciiTheme="majorHAnsi" w:hAnsiTheme="majorHAnsi" w:cstheme="majorHAnsi"/>
        </w:rPr>
        <w:t xml:space="preserve">Processes of personal and collective transformation can serve as informative test cases to distill these debates and explore the complementary (or irreconcilability) of quantitative and qualitative methodologies. Identifying when a transformational event has occurred, how it is to be described and </w:t>
      </w:r>
      <w:r w:rsidR="004F48AA" w:rsidRPr="00ED3B2A">
        <w:rPr>
          <w:rFonts w:asciiTheme="majorHAnsi" w:hAnsiTheme="majorHAnsi" w:cstheme="majorHAnsi"/>
        </w:rPr>
        <w:t>analyzed</w:t>
      </w:r>
      <w:r w:rsidRPr="00ED3B2A">
        <w:rPr>
          <w:rFonts w:asciiTheme="majorHAnsi" w:hAnsiTheme="majorHAnsi" w:cstheme="majorHAnsi"/>
        </w:rPr>
        <w:t xml:space="preserve"> and from whose perspective, situating its level of occurrence (individual or collective) and its salient indicators, assessing its degree of magnitude and moral qualities, and determining what its effects are; these are the challenges which this second theme of the symposium should address. </w:t>
      </w:r>
    </w:p>
    <w:p w14:paraId="501CEA14" w14:textId="77777777" w:rsidR="006C2BFB" w:rsidRPr="00ED3B2A" w:rsidRDefault="00000000" w:rsidP="00370560">
      <w:pPr>
        <w:spacing w:before="240" w:after="240"/>
        <w:jc w:val="both"/>
        <w:rPr>
          <w:rFonts w:asciiTheme="majorHAnsi" w:hAnsiTheme="majorHAnsi" w:cstheme="majorHAnsi"/>
        </w:rPr>
      </w:pPr>
      <w:r w:rsidRPr="00ED3B2A">
        <w:rPr>
          <w:rFonts w:asciiTheme="majorHAnsi" w:hAnsiTheme="majorHAnsi" w:cstheme="majorHAnsi"/>
        </w:rPr>
        <w:t xml:space="preserve">Papers which respond to this theme may ask </w:t>
      </w:r>
      <w:r w:rsidRPr="00ED3B2A">
        <w:rPr>
          <w:rFonts w:asciiTheme="majorHAnsi" w:hAnsiTheme="majorHAnsi" w:cstheme="majorHAnsi"/>
          <w:b/>
        </w:rPr>
        <w:t>how we can measure</w:t>
      </w:r>
      <w:r w:rsidRPr="00ED3B2A">
        <w:rPr>
          <w:rFonts w:asciiTheme="majorHAnsi" w:hAnsiTheme="majorHAnsi" w:cstheme="majorHAnsi"/>
        </w:rPr>
        <w:t xml:space="preserve"> conversion rates, social transformations, or personal changes (such as shifts in personality or deep commitments) and what the challenges are of quantifying these transformations? What have been the major methodological advances in this field, and what new methodological breakthrough can be imagined with the recent technological advances in computing capacities (Grossmann et al., 2023; </w:t>
      </w:r>
      <w:proofErr w:type="spellStart"/>
      <w:r w:rsidRPr="00ED3B2A">
        <w:rPr>
          <w:rFonts w:asciiTheme="majorHAnsi" w:hAnsiTheme="majorHAnsi" w:cstheme="majorHAnsi"/>
        </w:rPr>
        <w:t>Espín</w:t>
      </w:r>
      <w:proofErr w:type="spellEnd"/>
      <w:r w:rsidRPr="00ED3B2A">
        <w:rPr>
          <w:rFonts w:asciiTheme="majorHAnsi" w:hAnsiTheme="majorHAnsi" w:cstheme="majorHAnsi"/>
        </w:rPr>
        <w:t xml:space="preserve">-Sánchez et al., 2024)? Are there measurable historical patterns of individual and collective adaptation to crises, and if not, what are the </w:t>
      </w:r>
      <w:r w:rsidRPr="00ED3B2A">
        <w:rPr>
          <w:rFonts w:asciiTheme="majorHAnsi" w:hAnsiTheme="majorHAnsi" w:cstheme="majorHAnsi"/>
        </w:rPr>
        <w:lastRenderedPageBreak/>
        <w:t xml:space="preserve">obstacles to establishing such patterns? Papers may also assess the implicit or explicit normative assessments of existing accounts of transformational processes. </w:t>
      </w:r>
    </w:p>
    <w:p w14:paraId="218C74D1" w14:textId="28F1A40A" w:rsidR="006C2BFB" w:rsidRPr="00ED3B2A" w:rsidRDefault="00000000" w:rsidP="00370560">
      <w:pPr>
        <w:spacing w:before="240" w:after="240"/>
        <w:jc w:val="both"/>
        <w:rPr>
          <w:rFonts w:asciiTheme="majorHAnsi" w:hAnsiTheme="majorHAnsi" w:cstheme="majorHAnsi"/>
          <w:sz w:val="24"/>
          <w:szCs w:val="24"/>
        </w:rPr>
      </w:pPr>
      <w:proofErr w:type="gramStart"/>
      <w:r w:rsidRPr="00ED3B2A">
        <w:rPr>
          <w:rFonts w:asciiTheme="majorHAnsi" w:hAnsiTheme="majorHAnsi" w:cstheme="majorHAnsi"/>
        </w:rPr>
        <w:t>In particular, we</w:t>
      </w:r>
      <w:proofErr w:type="gramEnd"/>
      <w:r w:rsidRPr="00ED3B2A">
        <w:rPr>
          <w:rFonts w:asciiTheme="majorHAnsi" w:hAnsiTheme="majorHAnsi" w:cstheme="majorHAnsi"/>
        </w:rPr>
        <w:t xml:space="preserve"> would be interested in papers which either investigate how qualitative and quantitative approaches </w:t>
      </w:r>
      <w:r w:rsidRPr="00ED3B2A">
        <w:rPr>
          <w:rFonts w:asciiTheme="majorHAnsi" w:hAnsiTheme="majorHAnsi" w:cstheme="majorHAnsi"/>
          <w:b/>
        </w:rPr>
        <w:t>complement each other</w:t>
      </w:r>
      <w:r w:rsidRPr="00ED3B2A">
        <w:rPr>
          <w:rFonts w:asciiTheme="majorHAnsi" w:hAnsiTheme="majorHAnsi" w:cstheme="majorHAnsi"/>
        </w:rPr>
        <w:t xml:space="preserve"> in measuring personal transformation or which </w:t>
      </w:r>
      <w:r w:rsidR="00B124C0" w:rsidRPr="00ED3B2A">
        <w:rPr>
          <w:rFonts w:asciiTheme="majorHAnsi" w:hAnsiTheme="majorHAnsi" w:cstheme="majorHAnsi"/>
        </w:rPr>
        <w:t>analyze</w:t>
      </w:r>
      <w:r w:rsidRPr="00ED3B2A">
        <w:rPr>
          <w:rFonts w:asciiTheme="majorHAnsi" w:hAnsiTheme="majorHAnsi" w:cstheme="majorHAnsi"/>
        </w:rPr>
        <w:t xml:space="preserve"> the </w:t>
      </w:r>
      <w:r w:rsidRPr="00ED3B2A">
        <w:rPr>
          <w:rFonts w:asciiTheme="majorHAnsi" w:hAnsiTheme="majorHAnsi" w:cstheme="majorHAnsi"/>
          <w:b/>
        </w:rPr>
        <w:t>frictions and obstacles that limit such complementarity</w:t>
      </w:r>
      <w:r w:rsidRPr="00ED3B2A">
        <w:rPr>
          <w:rFonts w:asciiTheme="majorHAnsi" w:hAnsiTheme="majorHAnsi" w:cstheme="majorHAnsi"/>
        </w:rPr>
        <w:t>. What are the contributions of psychometric evaluations and the obstacles to generalizing these approaches in such highly subjective phenomena - especially when measuring values (</w:t>
      </w:r>
      <w:proofErr w:type="spellStart"/>
      <w:r w:rsidRPr="00ED3B2A">
        <w:rPr>
          <w:rFonts w:asciiTheme="majorHAnsi" w:hAnsiTheme="majorHAnsi" w:cstheme="majorHAnsi"/>
        </w:rPr>
        <w:t>Sijtsma</w:t>
      </w:r>
      <w:proofErr w:type="spellEnd"/>
      <w:r w:rsidRPr="00ED3B2A">
        <w:rPr>
          <w:rFonts w:asciiTheme="majorHAnsi" w:hAnsiTheme="majorHAnsi" w:cstheme="majorHAnsi"/>
        </w:rPr>
        <w:t xml:space="preserve">, 2021)? How to quantify personal transformation without </w:t>
      </w:r>
      <w:r w:rsidR="00B124C0" w:rsidRPr="00ED3B2A">
        <w:rPr>
          <w:rFonts w:asciiTheme="majorHAnsi" w:hAnsiTheme="majorHAnsi" w:cstheme="majorHAnsi"/>
        </w:rPr>
        <w:t>decontextualizing</w:t>
      </w:r>
      <w:r w:rsidRPr="00ED3B2A">
        <w:rPr>
          <w:rFonts w:asciiTheme="majorHAnsi" w:hAnsiTheme="majorHAnsi" w:cstheme="majorHAnsi"/>
        </w:rPr>
        <w:t xml:space="preserve"> it to the point of </w:t>
      </w:r>
      <w:r w:rsidR="00B124C0" w:rsidRPr="00ED3B2A">
        <w:rPr>
          <w:rFonts w:asciiTheme="majorHAnsi" w:hAnsiTheme="majorHAnsi" w:cstheme="majorHAnsi"/>
        </w:rPr>
        <w:t>unintelligibility?</w:t>
      </w:r>
      <w:r w:rsidRPr="00ED3B2A">
        <w:rPr>
          <w:rFonts w:asciiTheme="majorHAnsi" w:hAnsiTheme="majorHAnsi" w:cstheme="majorHAnsi"/>
        </w:rPr>
        <w:t xml:space="preserve"> How to describe transformations qualitatively without naively </w:t>
      </w:r>
      <w:r w:rsidR="00B124C0" w:rsidRPr="00ED3B2A">
        <w:rPr>
          <w:rFonts w:asciiTheme="majorHAnsi" w:hAnsiTheme="majorHAnsi" w:cstheme="majorHAnsi"/>
        </w:rPr>
        <w:t>generalizing</w:t>
      </w:r>
      <w:r w:rsidRPr="00ED3B2A">
        <w:rPr>
          <w:rFonts w:asciiTheme="majorHAnsi" w:hAnsiTheme="majorHAnsi" w:cstheme="majorHAnsi"/>
        </w:rPr>
        <w:t xml:space="preserve"> from a non-representative sample? How to reconcile or talk across the divide between competing imaginaries and epistemologies on this specific issue?</w:t>
      </w:r>
    </w:p>
    <w:p w14:paraId="276D1F02" w14:textId="342BCA29" w:rsidR="006C2BFB" w:rsidRPr="00370560" w:rsidRDefault="00000000">
      <w:pPr>
        <w:spacing w:before="240" w:after="240"/>
        <w:rPr>
          <w:rFonts w:asciiTheme="majorHAnsi" w:hAnsiTheme="majorHAnsi" w:cstheme="majorHAnsi"/>
          <w:b/>
          <w:sz w:val="28"/>
          <w:szCs w:val="28"/>
        </w:rPr>
      </w:pPr>
      <w:r w:rsidRPr="00370560">
        <w:rPr>
          <w:rFonts w:asciiTheme="majorHAnsi" w:hAnsiTheme="majorHAnsi" w:cstheme="majorHAnsi"/>
          <w:b/>
          <w:sz w:val="28"/>
          <w:szCs w:val="28"/>
        </w:rPr>
        <w:t>Bibliography</w:t>
      </w:r>
    </w:p>
    <w:p w14:paraId="430A80AF" w14:textId="5AD967A1" w:rsidR="00ED3B2A" w:rsidRPr="00B124C0" w:rsidRDefault="00ED3B2A" w:rsidP="00ED3B2A">
      <w:pPr>
        <w:spacing w:before="120" w:after="120" w:line="240" w:lineRule="auto"/>
        <w:rPr>
          <w:rFonts w:asciiTheme="majorHAnsi" w:hAnsiTheme="majorHAnsi" w:cstheme="majorHAnsi"/>
        </w:rPr>
      </w:pPr>
      <w:bookmarkStart w:id="3" w:name="_Hlk196908655"/>
      <w:r w:rsidRPr="00B124C0">
        <w:rPr>
          <w:rFonts w:asciiTheme="majorHAnsi" w:hAnsiTheme="majorHAnsi" w:cstheme="majorHAnsi"/>
          <w:b/>
          <w:bCs/>
        </w:rPr>
        <w:t>Abbott, A.</w:t>
      </w:r>
      <w:r w:rsidRPr="00B124C0">
        <w:rPr>
          <w:rFonts w:asciiTheme="majorHAnsi" w:hAnsiTheme="majorHAnsi" w:cstheme="majorHAnsi"/>
        </w:rPr>
        <w:t xml:space="preserve"> (2004). </w:t>
      </w:r>
      <w:r w:rsidRPr="00B124C0">
        <w:rPr>
          <w:rFonts w:asciiTheme="majorHAnsi" w:hAnsiTheme="majorHAnsi" w:cstheme="majorHAnsi"/>
          <w:i/>
          <w:iCs/>
        </w:rPr>
        <w:t>Methods of Discovery: Heuristics for the Social Sciences</w:t>
      </w:r>
      <w:r w:rsidRPr="00B124C0">
        <w:rPr>
          <w:rFonts w:asciiTheme="majorHAnsi" w:hAnsiTheme="majorHAnsi" w:cstheme="majorHAnsi"/>
        </w:rPr>
        <w:t>. W.W. Norton &amp; Company.</w:t>
      </w:r>
      <w:r w:rsidRPr="00B124C0">
        <w:rPr>
          <w:rFonts w:asciiTheme="majorHAnsi" w:hAnsiTheme="majorHAnsi" w:cstheme="majorHAnsi"/>
        </w:rPr>
        <w:br/>
      </w:r>
      <w:proofErr w:type="spellStart"/>
      <w:r w:rsidRPr="00B124C0">
        <w:rPr>
          <w:rFonts w:asciiTheme="majorHAnsi" w:hAnsiTheme="majorHAnsi" w:cstheme="majorHAnsi"/>
          <w:b/>
          <w:bCs/>
        </w:rPr>
        <w:t>Arvan</w:t>
      </w:r>
      <w:proofErr w:type="spellEnd"/>
      <w:r w:rsidRPr="00B124C0">
        <w:rPr>
          <w:rFonts w:asciiTheme="majorHAnsi" w:hAnsiTheme="majorHAnsi" w:cstheme="majorHAnsi"/>
          <w:b/>
          <w:bCs/>
        </w:rPr>
        <w:t>, M.</w:t>
      </w:r>
      <w:r w:rsidRPr="00B124C0">
        <w:rPr>
          <w:rFonts w:asciiTheme="majorHAnsi" w:hAnsiTheme="majorHAnsi" w:cstheme="majorHAnsi"/>
        </w:rPr>
        <w:t xml:space="preserve"> (2013) ‘Transformative experiences’, </w:t>
      </w:r>
      <w:r w:rsidRPr="00B124C0">
        <w:rPr>
          <w:rFonts w:asciiTheme="majorHAnsi" w:hAnsiTheme="majorHAnsi" w:cstheme="majorHAnsi"/>
          <w:i/>
          <w:iCs/>
        </w:rPr>
        <w:t>International Encyclopedia of Ethics</w:t>
      </w:r>
      <w:r w:rsidRPr="00B124C0">
        <w:rPr>
          <w:rFonts w:asciiTheme="majorHAnsi" w:hAnsiTheme="majorHAnsi" w:cstheme="majorHAnsi"/>
        </w:rPr>
        <w:t>, pp. 1-9.</w:t>
      </w:r>
      <w:r w:rsidRPr="00B124C0">
        <w:rPr>
          <w:rFonts w:asciiTheme="majorHAnsi" w:hAnsiTheme="majorHAnsi" w:cstheme="majorHAnsi"/>
        </w:rPr>
        <w:br/>
      </w:r>
      <w:proofErr w:type="spellStart"/>
      <w:r w:rsidRPr="00B124C0">
        <w:rPr>
          <w:rFonts w:asciiTheme="majorHAnsi" w:hAnsiTheme="majorHAnsi" w:cstheme="majorHAnsi"/>
          <w:b/>
          <w:bCs/>
        </w:rPr>
        <w:t>Arvan</w:t>
      </w:r>
      <w:proofErr w:type="spellEnd"/>
      <w:r w:rsidRPr="00B124C0">
        <w:rPr>
          <w:rFonts w:asciiTheme="majorHAnsi" w:hAnsiTheme="majorHAnsi" w:cstheme="majorHAnsi"/>
          <w:b/>
          <w:bCs/>
        </w:rPr>
        <w:t>, M.</w:t>
      </w:r>
      <w:r w:rsidRPr="00B124C0">
        <w:rPr>
          <w:rFonts w:asciiTheme="majorHAnsi" w:hAnsiTheme="majorHAnsi" w:cstheme="majorHAnsi"/>
        </w:rPr>
        <w:t xml:space="preserve"> (2015) ‘How to rationally approach life's transformative experiences’, </w:t>
      </w:r>
      <w:r w:rsidRPr="00B124C0">
        <w:rPr>
          <w:rFonts w:asciiTheme="majorHAnsi" w:hAnsiTheme="majorHAnsi" w:cstheme="majorHAnsi"/>
          <w:i/>
          <w:iCs/>
        </w:rPr>
        <w:t>Philosophical Psychology</w:t>
      </w:r>
      <w:r w:rsidRPr="00B124C0">
        <w:rPr>
          <w:rFonts w:asciiTheme="majorHAnsi" w:hAnsiTheme="majorHAnsi" w:cstheme="majorHAnsi"/>
        </w:rPr>
        <w:t>, 28, pp. 1199–218.</w:t>
      </w:r>
      <w:r w:rsidRPr="00B124C0">
        <w:rPr>
          <w:rFonts w:asciiTheme="majorHAnsi" w:hAnsiTheme="majorHAnsi" w:cstheme="majorHAnsi"/>
        </w:rPr>
        <w:br/>
      </w:r>
      <w:r w:rsidRPr="00B124C0">
        <w:rPr>
          <w:rFonts w:asciiTheme="majorHAnsi" w:hAnsiTheme="majorHAnsi" w:cstheme="majorHAnsi"/>
          <w:b/>
          <w:bCs/>
        </w:rPr>
        <w:t>Barnes, E.</w:t>
      </w:r>
      <w:r w:rsidRPr="00B124C0">
        <w:rPr>
          <w:rFonts w:asciiTheme="majorHAnsi" w:hAnsiTheme="majorHAnsi" w:cstheme="majorHAnsi"/>
        </w:rPr>
        <w:t xml:space="preserve"> (2015) ‘Social identities and transformative experience’, </w:t>
      </w:r>
      <w:r w:rsidRPr="00B124C0">
        <w:rPr>
          <w:rFonts w:asciiTheme="majorHAnsi" w:hAnsiTheme="majorHAnsi" w:cstheme="majorHAnsi"/>
          <w:i/>
          <w:iCs/>
        </w:rPr>
        <w:t xml:space="preserve">Res </w:t>
      </w:r>
      <w:proofErr w:type="spellStart"/>
      <w:r w:rsidRPr="00B124C0">
        <w:rPr>
          <w:rFonts w:asciiTheme="majorHAnsi" w:hAnsiTheme="majorHAnsi" w:cstheme="majorHAnsi"/>
          <w:i/>
          <w:iCs/>
        </w:rPr>
        <w:t>Philosophica</w:t>
      </w:r>
      <w:proofErr w:type="spellEnd"/>
      <w:r w:rsidRPr="00B124C0">
        <w:rPr>
          <w:rFonts w:asciiTheme="majorHAnsi" w:hAnsiTheme="majorHAnsi" w:cstheme="majorHAnsi"/>
        </w:rPr>
        <w:t>, 92, pp. 171–87.</w:t>
      </w:r>
      <w:r w:rsidRPr="00B124C0">
        <w:rPr>
          <w:rFonts w:asciiTheme="majorHAnsi" w:hAnsiTheme="majorHAnsi" w:cstheme="majorHAnsi"/>
        </w:rPr>
        <w:br/>
      </w:r>
      <w:proofErr w:type="spellStart"/>
      <w:r w:rsidRPr="00B124C0">
        <w:rPr>
          <w:rFonts w:asciiTheme="majorHAnsi" w:hAnsiTheme="majorHAnsi" w:cstheme="majorHAnsi"/>
          <w:b/>
          <w:bCs/>
        </w:rPr>
        <w:t>Bendle</w:t>
      </w:r>
      <w:proofErr w:type="spellEnd"/>
      <w:r w:rsidRPr="00B124C0">
        <w:rPr>
          <w:rFonts w:asciiTheme="majorHAnsi" w:hAnsiTheme="majorHAnsi" w:cstheme="majorHAnsi"/>
          <w:b/>
          <w:bCs/>
        </w:rPr>
        <w:t xml:space="preserve">, </w:t>
      </w:r>
      <w:proofErr w:type="spellStart"/>
      <w:r w:rsidRPr="00B124C0">
        <w:rPr>
          <w:rFonts w:asciiTheme="majorHAnsi" w:hAnsiTheme="majorHAnsi" w:cstheme="majorHAnsi"/>
          <w:b/>
          <w:bCs/>
        </w:rPr>
        <w:t>M.F</w:t>
      </w:r>
      <w:proofErr w:type="spellEnd"/>
      <w:r w:rsidRPr="00B124C0">
        <w:rPr>
          <w:rFonts w:asciiTheme="majorHAnsi" w:hAnsiTheme="majorHAnsi" w:cstheme="majorHAnsi"/>
          <w:b/>
          <w:bCs/>
        </w:rPr>
        <w:t>.</w:t>
      </w:r>
      <w:r w:rsidRPr="00B124C0">
        <w:rPr>
          <w:rFonts w:asciiTheme="majorHAnsi" w:hAnsiTheme="majorHAnsi" w:cstheme="majorHAnsi"/>
        </w:rPr>
        <w:t xml:space="preserve"> (2003) ‘Reflexive spirituality and metanoia in high modernity’, </w:t>
      </w:r>
      <w:r w:rsidRPr="00B124C0">
        <w:rPr>
          <w:rFonts w:asciiTheme="majorHAnsi" w:hAnsiTheme="majorHAnsi" w:cstheme="majorHAnsi"/>
          <w:i/>
          <w:iCs/>
        </w:rPr>
        <w:t>Australian Religion Studies Review</w:t>
      </w:r>
      <w:r w:rsidRPr="00B124C0">
        <w:rPr>
          <w:rFonts w:asciiTheme="majorHAnsi" w:hAnsiTheme="majorHAnsi" w:cstheme="majorHAnsi"/>
        </w:rPr>
        <w:t>, 16(1).</w:t>
      </w:r>
      <w:r w:rsidRPr="00B124C0">
        <w:rPr>
          <w:rFonts w:asciiTheme="majorHAnsi" w:hAnsiTheme="majorHAnsi" w:cstheme="majorHAnsi"/>
        </w:rPr>
        <w:br/>
      </w:r>
      <w:r w:rsidRPr="00B124C0">
        <w:rPr>
          <w:rFonts w:asciiTheme="majorHAnsi" w:hAnsiTheme="majorHAnsi" w:cstheme="majorHAnsi"/>
          <w:b/>
          <w:bCs/>
          <w:lang w:val="fr-FR"/>
        </w:rPr>
        <w:t>Bouveresse, J.</w:t>
      </w:r>
      <w:r w:rsidRPr="00B124C0">
        <w:rPr>
          <w:rFonts w:asciiTheme="majorHAnsi" w:hAnsiTheme="majorHAnsi" w:cstheme="majorHAnsi"/>
          <w:lang w:val="fr-FR"/>
        </w:rPr>
        <w:t xml:space="preserve"> (1999) 'Prodiges et vertiges de l'analogie', </w:t>
      </w:r>
      <w:r w:rsidRPr="00B124C0">
        <w:rPr>
          <w:rFonts w:asciiTheme="majorHAnsi" w:hAnsiTheme="majorHAnsi" w:cstheme="majorHAnsi"/>
          <w:i/>
          <w:iCs/>
          <w:lang w:val="fr-FR"/>
        </w:rPr>
        <w:t>Quinzaine Littéraire</w:t>
      </w:r>
      <w:r w:rsidRPr="00B124C0">
        <w:rPr>
          <w:rFonts w:asciiTheme="majorHAnsi" w:hAnsiTheme="majorHAnsi" w:cstheme="majorHAnsi"/>
          <w:lang w:val="fr-FR"/>
        </w:rPr>
        <w:t>, pp. 22-22.</w:t>
      </w:r>
      <w:r w:rsidRPr="00B124C0">
        <w:rPr>
          <w:rFonts w:asciiTheme="majorHAnsi" w:hAnsiTheme="majorHAnsi" w:cstheme="majorHAnsi"/>
          <w:lang w:val="fr-FR"/>
        </w:rPr>
        <w:br/>
      </w:r>
      <w:r w:rsidRPr="00B124C0">
        <w:rPr>
          <w:rFonts w:asciiTheme="majorHAnsi" w:hAnsiTheme="majorHAnsi" w:cstheme="majorHAnsi"/>
          <w:b/>
          <w:bCs/>
        </w:rPr>
        <w:t>Brierley, J.</w:t>
      </w:r>
      <w:r w:rsidRPr="00B124C0">
        <w:rPr>
          <w:rFonts w:asciiTheme="majorHAnsi" w:hAnsiTheme="majorHAnsi" w:cstheme="majorHAnsi"/>
        </w:rPr>
        <w:t xml:space="preserve"> (2023) </w:t>
      </w:r>
      <w:r w:rsidRPr="00B124C0">
        <w:rPr>
          <w:rFonts w:asciiTheme="majorHAnsi" w:hAnsiTheme="majorHAnsi" w:cstheme="majorHAnsi"/>
          <w:i/>
          <w:iCs/>
        </w:rPr>
        <w:t>The surprising rebirth of belief in God: Why new atheism grew old and secular thinkers are considering Christianity again</w:t>
      </w:r>
      <w:r w:rsidRPr="00B124C0">
        <w:rPr>
          <w:rFonts w:asciiTheme="majorHAnsi" w:hAnsiTheme="majorHAnsi" w:cstheme="majorHAnsi"/>
        </w:rPr>
        <w:t>. Carol Stream, IL: Tyndale House Publishers.</w:t>
      </w:r>
      <w:r w:rsidRPr="00B124C0">
        <w:rPr>
          <w:rFonts w:asciiTheme="majorHAnsi" w:hAnsiTheme="majorHAnsi" w:cstheme="majorHAnsi"/>
        </w:rPr>
        <w:br/>
      </w:r>
      <w:r w:rsidRPr="00B124C0">
        <w:rPr>
          <w:rFonts w:asciiTheme="majorHAnsi" w:hAnsiTheme="majorHAnsi" w:cstheme="majorHAnsi"/>
          <w:b/>
          <w:bCs/>
        </w:rPr>
        <w:t>Briggs, R.</w:t>
      </w:r>
      <w:r w:rsidRPr="00B124C0">
        <w:rPr>
          <w:rFonts w:asciiTheme="majorHAnsi" w:hAnsiTheme="majorHAnsi" w:cstheme="majorHAnsi"/>
        </w:rPr>
        <w:t xml:space="preserve"> (2015) ‘Transformative experience and interpersonal utility comparisons’, </w:t>
      </w:r>
      <w:r w:rsidRPr="00B124C0">
        <w:rPr>
          <w:rFonts w:asciiTheme="majorHAnsi" w:hAnsiTheme="majorHAnsi" w:cstheme="majorHAnsi"/>
          <w:i/>
          <w:iCs/>
        </w:rPr>
        <w:t xml:space="preserve">Res </w:t>
      </w:r>
      <w:proofErr w:type="spellStart"/>
      <w:r w:rsidRPr="00B124C0">
        <w:rPr>
          <w:rFonts w:asciiTheme="majorHAnsi" w:hAnsiTheme="majorHAnsi" w:cstheme="majorHAnsi"/>
          <w:i/>
          <w:iCs/>
        </w:rPr>
        <w:t>Philosophica</w:t>
      </w:r>
      <w:proofErr w:type="spellEnd"/>
      <w:r w:rsidRPr="00B124C0">
        <w:rPr>
          <w:rFonts w:asciiTheme="majorHAnsi" w:hAnsiTheme="majorHAnsi" w:cstheme="majorHAnsi"/>
        </w:rPr>
        <w:t>, 92, pp. 189–216.</w:t>
      </w:r>
      <w:r w:rsidRPr="00B124C0">
        <w:rPr>
          <w:rFonts w:asciiTheme="majorHAnsi" w:hAnsiTheme="majorHAnsi" w:cstheme="majorHAnsi"/>
        </w:rPr>
        <w:br/>
      </w:r>
      <w:r w:rsidRPr="00B124C0">
        <w:rPr>
          <w:rFonts w:asciiTheme="majorHAnsi" w:hAnsiTheme="majorHAnsi" w:cstheme="majorHAnsi"/>
          <w:b/>
          <w:bCs/>
        </w:rPr>
        <w:t>Campbell, J.</w:t>
      </w:r>
      <w:r w:rsidRPr="00B124C0">
        <w:rPr>
          <w:rFonts w:asciiTheme="majorHAnsi" w:hAnsiTheme="majorHAnsi" w:cstheme="majorHAnsi"/>
        </w:rPr>
        <w:t xml:space="preserve"> (2015) ‘L. A. Paul's transformative experience’, </w:t>
      </w:r>
      <w:r w:rsidRPr="00B124C0">
        <w:rPr>
          <w:rFonts w:asciiTheme="majorHAnsi" w:hAnsiTheme="majorHAnsi" w:cstheme="majorHAnsi"/>
          <w:i/>
          <w:iCs/>
        </w:rPr>
        <w:t>Philosophy and Phenomenological Research</w:t>
      </w:r>
      <w:r w:rsidRPr="00B124C0">
        <w:rPr>
          <w:rFonts w:asciiTheme="majorHAnsi" w:hAnsiTheme="majorHAnsi" w:cstheme="majorHAnsi"/>
        </w:rPr>
        <w:t>, 91, pp. 787–93.</w:t>
      </w:r>
      <w:r w:rsidRPr="00B124C0">
        <w:rPr>
          <w:rFonts w:asciiTheme="majorHAnsi" w:hAnsiTheme="majorHAnsi" w:cstheme="majorHAnsi"/>
        </w:rPr>
        <w:br/>
      </w:r>
      <w:proofErr w:type="spellStart"/>
      <w:r w:rsidRPr="00B124C0">
        <w:rPr>
          <w:rFonts w:asciiTheme="majorHAnsi" w:hAnsiTheme="majorHAnsi" w:cstheme="majorHAnsi"/>
          <w:b/>
          <w:bCs/>
        </w:rPr>
        <w:t>Cappelen</w:t>
      </w:r>
      <w:proofErr w:type="spellEnd"/>
      <w:r w:rsidRPr="00B124C0">
        <w:rPr>
          <w:rFonts w:asciiTheme="majorHAnsi" w:hAnsiTheme="majorHAnsi" w:cstheme="majorHAnsi"/>
          <w:b/>
          <w:bCs/>
        </w:rPr>
        <w:t xml:space="preserve">, H. and </w:t>
      </w:r>
      <w:proofErr w:type="spellStart"/>
      <w:r w:rsidRPr="00B124C0">
        <w:rPr>
          <w:rFonts w:asciiTheme="majorHAnsi" w:hAnsiTheme="majorHAnsi" w:cstheme="majorHAnsi"/>
          <w:b/>
          <w:bCs/>
        </w:rPr>
        <w:t>Dever</w:t>
      </w:r>
      <w:proofErr w:type="spellEnd"/>
      <w:r w:rsidRPr="00B124C0">
        <w:rPr>
          <w:rFonts w:asciiTheme="majorHAnsi" w:hAnsiTheme="majorHAnsi" w:cstheme="majorHAnsi"/>
          <w:b/>
          <w:bCs/>
        </w:rPr>
        <w:t>, J.</w:t>
      </w:r>
      <w:r w:rsidRPr="00B124C0">
        <w:rPr>
          <w:rFonts w:asciiTheme="majorHAnsi" w:hAnsiTheme="majorHAnsi" w:cstheme="majorHAnsi"/>
        </w:rPr>
        <w:t xml:space="preserve"> (2017) ‘Empathy and transformative experience without the first-person point of view’, </w:t>
      </w:r>
      <w:r w:rsidRPr="00B124C0">
        <w:rPr>
          <w:rFonts w:asciiTheme="majorHAnsi" w:hAnsiTheme="majorHAnsi" w:cstheme="majorHAnsi"/>
          <w:i/>
          <w:iCs/>
        </w:rPr>
        <w:t>Inquiry: An Interdisciplinary Journal of Philosophy</w:t>
      </w:r>
      <w:r w:rsidRPr="00B124C0">
        <w:rPr>
          <w:rFonts w:asciiTheme="majorHAnsi" w:hAnsiTheme="majorHAnsi" w:cstheme="majorHAnsi"/>
        </w:rPr>
        <w:t>, 60, pp. 315–36.</w:t>
      </w:r>
      <w:r w:rsidRPr="00B124C0">
        <w:rPr>
          <w:rFonts w:asciiTheme="majorHAnsi" w:hAnsiTheme="majorHAnsi" w:cstheme="majorHAnsi"/>
        </w:rPr>
        <w:br/>
      </w:r>
      <w:r w:rsidRPr="00B124C0">
        <w:rPr>
          <w:rFonts w:asciiTheme="majorHAnsi" w:hAnsiTheme="majorHAnsi" w:cstheme="majorHAnsi"/>
          <w:b/>
          <w:bCs/>
        </w:rPr>
        <w:t>Capps, J.</w:t>
      </w:r>
      <w:r w:rsidRPr="00B124C0">
        <w:rPr>
          <w:rFonts w:asciiTheme="majorHAnsi" w:hAnsiTheme="majorHAnsi" w:cstheme="majorHAnsi"/>
        </w:rPr>
        <w:t xml:space="preserve"> (2018) ‘Even worse than it seems: Transformative experience and the selection problem’, </w:t>
      </w:r>
      <w:r w:rsidRPr="00B124C0">
        <w:rPr>
          <w:rFonts w:asciiTheme="majorHAnsi" w:hAnsiTheme="majorHAnsi" w:cstheme="majorHAnsi"/>
          <w:i/>
          <w:iCs/>
        </w:rPr>
        <w:t>Journal of Philosophical Research</w:t>
      </w:r>
      <w:r w:rsidRPr="00B124C0">
        <w:rPr>
          <w:rFonts w:asciiTheme="majorHAnsi" w:hAnsiTheme="majorHAnsi" w:cstheme="majorHAnsi"/>
        </w:rPr>
        <w:t>, 43, pp. 113–24.</w:t>
      </w:r>
      <w:r w:rsidRPr="00B124C0">
        <w:rPr>
          <w:rFonts w:asciiTheme="majorHAnsi" w:hAnsiTheme="majorHAnsi" w:cstheme="majorHAnsi"/>
        </w:rPr>
        <w:br/>
      </w:r>
      <w:proofErr w:type="spellStart"/>
      <w:r w:rsidRPr="00B124C0">
        <w:rPr>
          <w:rFonts w:asciiTheme="majorHAnsi" w:hAnsiTheme="majorHAnsi" w:cstheme="majorHAnsi"/>
          <w:b/>
          <w:bCs/>
        </w:rPr>
        <w:t>Carel</w:t>
      </w:r>
      <w:proofErr w:type="spellEnd"/>
      <w:r w:rsidRPr="00B124C0">
        <w:rPr>
          <w:rFonts w:asciiTheme="majorHAnsi" w:hAnsiTheme="majorHAnsi" w:cstheme="majorHAnsi"/>
          <w:b/>
          <w:bCs/>
        </w:rPr>
        <w:t xml:space="preserve">, H., Pettigrew, R. and Kidd, </w:t>
      </w:r>
      <w:proofErr w:type="spellStart"/>
      <w:r w:rsidRPr="00B124C0">
        <w:rPr>
          <w:rFonts w:asciiTheme="majorHAnsi" w:hAnsiTheme="majorHAnsi" w:cstheme="majorHAnsi"/>
          <w:b/>
          <w:bCs/>
        </w:rPr>
        <w:t>I.J</w:t>
      </w:r>
      <w:proofErr w:type="spellEnd"/>
      <w:r w:rsidRPr="00B124C0">
        <w:rPr>
          <w:rFonts w:asciiTheme="majorHAnsi" w:hAnsiTheme="majorHAnsi" w:cstheme="majorHAnsi"/>
          <w:b/>
          <w:bCs/>
        </w:rPr>
        <w:t>.</w:t>
      </w:r>
      <w:r w:rsidRPr="00B124C0">
        <w:rPr>
          <w:rFonts w:asciiTheme="majorHAnsi" w:hAnsiTheme="majorHAnsi" w:cstheme="majorHAnsi"/>
        </w:rPr>
        <w:t xml:space="preserve"> (2017) ‘Illness as transformative experience’, </w:t>
      </w:r>
      <w:r w:rsidRPr="00B124C0">
        <w:rPr>
          <w:rFonts w:asciiTheme="majorHAnsi" w:hAnsiTheme="majorHAnsi" w:cstheme="majorHAnsi"/>
          <w:i/>
          <w:iCs/>
        </w:rPr>
        <w:t>Lancet</w:t>
      </w:r>
      <w:r w:rsidRPr="00B124C0">
        <w:rPr>
          <w:rFonts w:asciiTheme="majorHAnsi" w:hAnsiTheme="majorHAnsi" w:cstheme="majorHAnsi"/>
        </w:rPr>
        <w:t>, 388, pp. 1152–3.</w:t>
      </w:r>
      <w:r w:rsidRPr="00B124C0">
        <w:rPr>
          <w:rFonts w:asciiTheme="majorHAnsi" w:hAnsiTheme="majorHAnsi" w:cstheme="majorHAnsi"/>
        </w:rPr>
        <w:br/>
      </w:r>
      <w:r w:rsidRPr="00B124C0">
        <w:rPr>
          <w:rFonts w:asciiTheme="majorHAnsi" w:hAnsiTheme="majorHAnsi" w:cstheme="majorHAnsi"/>
          <w:b/>
          <w:bCs/>
        </w:rPr>
        <w:t>Carr, J.</w:t>
      </w:r>
      <w:r w:rsidRPr="00B124C0">
        <w:rPr>
          <w:rFonts w:asciiTheme="majorHAnsi" w:hAnsiTheme="majorHAnsi" w:cstheme="majorHAnsi"/>
        </w:rPr>
        <w:t xml:space="preserve"> (2015) ‘Epistemic expansions’, </w:t>
      </w:r>
      <w:r w:rsidRPr="00B124C0">
        <w:rPr>
          <w:rFonts w:asciiTheme="majorHAnsi" w:hAnsiTheme="majorHAnsi" w:cstheme="majorHAnsi"/>
          <w:i/>
          <w:iCs/>
        </w:rPr>
        <w:t xml:space="preserve">Res </w:t>
      </w:r>
      <w:proofErr w:type="spellStart"/>
      <w:r w:rsidRPr="00B124C0">
        <w:rPr>
          <w:rFonts w:asciiTheme="majorHAnsi" w:hAnsiTheme="majorHAnsi" w:cstheme="majorHAnsi"/>
          <w:i/>
          <w:iCs/>
        </w:rPr>
        <w:t>Philosophica</w:t>
      </w:r>
      <w:proofErr w:type="spellEnd"/>
      <w:r w:rsidRPr="00B124C0">
        <w:rPr>
          <w:rFonts w:asciiTheme="majorHAnsi" w:hAnsiTheme="majorHAnsi" w:cstheme="majorHAnsi"/>
        </w:rPr>
        <w:t>, 92, pp. 217–36.</w:t>
      </w:r>
      <w:r w:rsidRPr="00B124C0">
        <w:rPr>
          <w:rFonts w:asciiTheme="majorHAnsi" w:hAnsiTheme="majorHAnsi" w:cstheme="majorHAnsi"/>
        </w:rPr>
        <w:br/>
      </w:r>
      <w:proofErr w:type="spellStart"/>
      <w:r w:rsidRPr="00B124C0">
        <w:rPr>
          <w:rFonts w:asciiTheme="majorHAnsi" w:hAnsiTheme="majorHAnsi" w:cstheme="majorHAnsi"/>
          <w:b/>
          <w:bCs/>
        </w:rPr>
        <w:t>Carsey</w:t>
      </w:r>
      <w:proofErr w:type="spellEnd"/>
      <w:r w:rsidRPr="00B124C0">
        <w:rPr>
          <w:rFonts w:asciiTheme="majorHAnsi" w:hAnsiTheme="majorHAnsi" w:cstheme="majorHAnsi"/>
          <w:b/>
          <w:bCs/>
        </w:rPr>
        <w:t>, T.M., Layman, G.C.</w:t>
      </w:r>
      <w:r w:rsidRPr="00B124C0">
        <w:rPr>
          <w:rFonts w:asciiTheme="majorHAnsi" w:hAnsiTheme="majorHAnsi" w:cstheme="majorHAnsi"/>
        </w:rPr>
        <w:t xml:space="preserve"> (1999). A Dynamic Model of Political Change Among Party Activists. </w:t>
      </w:r>
      <w:r w:rsidRPr="00B124C0">
        <w:rPr>
          <w:rFonts w:asciiTheme="majorHAnsi" w:hAnsiTheme="majorHAnsi" w:cstheme="majorHAnsi"/>
          <w:i/>
          <w:iCs/>
        </w:rPr>
        <w:t>Political Behavior</w:t>
      </w:r>
      <w:r w:rsidRPr="00B124C0">
        <w:rPr>
          <w:rFonts w:asciiTheme="majorHAnsi" w:hAnsiTheme="majorHAnsi" w:cstheme="majorHAnsi"/>
        </w:rPr>
        <w:t xml:space="preserve">, 21, 17–41. </w:t>
      </w:r>
      <w:hyperlink r:id="rId10" w:tgtFrame="_new" w:history="1">
        <w:r w:rsidRPr="00B124C0">
          <w:rPr>
            <w:rStyle w:val="Hyperlink"/>
            <w:rFonts w:asciiTheme="majorHAnsi" w:hAnsiTheme="majorHAnsi" w:cstheme="majorHAnsi"/>
          </w:rPr>
          <w:t>https://doi.org/10.1023/A:1023344412661</w:t>
        </w:r>
      </w:hyperlink>
      <w:r w:rsidRPr="00B124C0">
        <w:rPr>
          <w:rFonts w:asciiTheme="majorHAnsi" w:hAnsiTheme="majorHAnsi" w:cstheme="majorHAnsi"/>
        </w:rPr>
        <w:br/>
      </w:r>
      <w:r w:rsidRPr="00B124C0">
        <w:rPr>
          <w:rFonts w:asciiTheme="majorHAnsi" w:hAnsiTheme="majorHAnsi" w:cstheme="majorHAnsi"/>
          <w:b/>
          <w:bCs/>
        </w:rPr>
        <w:t>Chang, R.</w:t>
      </w:r>
      <w:r w:rsidRPr="00B124C0">
        <w:rPr>
          <w:rFonts w:asciiTheme="majorHAnsi" w:hAnsiTheme="majorHAnsi" w:cstheme="majorHAnsi"/>
        </w:rPr>
        <w:t xml:space="preserve"> (2015) ‘Transformative choices’, </w:t>
      </w:r>
      <w:r w:rsidRPr="00B124C0">
        <w:rPr>
          <w:rFonts w:asciiTheme="majorHAnsi" w:hAnsiTheme="majorHAnsi" w:cstheme="majorHAnsi"/>
          <w:i/>
          <w:iCs/>
        </w:rPr>
        <w:t xml:space="preserve">Res </w:t>
      </w:r>
      <w:proofErr w:type="spellStart"/>
      <w:r w:rsidRPr="00B124C0">
        <w:rPr>
          <w:rFonts w:asciiTheme="majorHAnsi" w:hAnsiTheme="majorHAnsi" w:cstheme="majorHAnsi"/>
          <w:i/>
          <w:iCs/>
        </w:rPr>
        <w:t>Philosophica</w:t>
      </w:r>
      <w:proofErr w:type="spellEnd"/>
      <w:r w:rsidRPr="00B124C0">
        <w:rPr>
          <w:rFonts w:asciiTheme="majorHAnsi" w:hAnsiTheme="majorHAnsi" w:cstheme="majorHAnsi"/>
        </w:rPr>
        <w:t>, 92, pp. 237–82.</w:t>
      </w:r>
      <w:r w:rsidRPr="00B124C0">
        <w:rPr>
          <w:rFonts w:asciiTheme="majorHAnsi" w:hAnsiTheme="majorHAnsi" w:cstheme="majorHAnsi"/>
        </w:rPr>
        <w:br/>
      </w:r>
      <w:r w:rsidRPr="00B124C0">
        <w:rPr>
          <w:rFonts w:asciiTheme="majorHAnsi" w:hAnsiTheme="majorHAnsi" w:cstheme="majorHAnsi"/>
          <w:b/>
          <w:bCs/>
        </w:rPr>
        <w:t>Chan, R.</w:t>
      </w:r>
      <w:r w:rsidRPr="00B124C0">
        <w:rPr>
          <w:rFonts w:asciiTheme="majorHAnsi" w:hAnsiTheme="majorHAnsi" w:cstheme="majorHAnsi"/>
        </w:rPr>
        <w:t xml:space="preserve"> (2016) ‘Religious experience, voluntarist reasons, and the transformative experience puzzle’, </w:t>
      </w:r>
      <w:r w:rsidRPr="00B124C0">
        <w:rPr>
          <w:rFonts w:asciiTheme="majorHAnsi" w:hAnsiTheme="majorHAnsi" w:cstheme="majorHAnsi"/>
          <w:i/>
          <w:iCs/>
        </w:rPr>
        <w:t xml:space="preserve">Res </w:t>
      </w:r>
      <w:proofErr w:type="spellStart"/>
      <w:r w:rsidRPr="00B124C0">
        <w:rPr>
          <w:rFonts w:asciiTheme="majorHAnsi" w:hAnsiTheme="majorHAnsi" w:cstheme="majorHAnsi"/>
          <w:i/>
          <w:iCs/>
        </w:rPr>
        <w:t>Philosophica</w:t>
      </w:r>
      <w:proofErr w:type="spellEnd"/>
      <w:r w:rsidRPr="00B124C0">
        <w:rPr>
          <w:rFonts w:asciiTheme="majorHAnsi" w:hAnsiTheme="majorHAnsi" w:cstheme="majorHAnsi"/>
        </w:rPr>
        <w:t>, 93, pp. 269–87.</w:t>
      </w:r>
      <w:r w:rsidRPr="00B124C0">
        <w:rPr>
          <w:rFonts w:asciiTheme="majorHAnsi" w:hAnsiTheme="majorHAnsi" w:cstheme="majorHAnsi"/>
        </w:rPr>
        <w:br/>
      </w:r>
      <w:proofErr w:type="spellStart"/>
      <w:r w:rsidRPr="00B124C0">
        <w:rPr>
          <w:rFonts w:asciiTheme="majorHAnsi" w:hAnsiTheme="majorHAnsi" w:cstheme="majorHAnsi"/>
          <w:b/>
          <w:bCs/>
          <w:lang w:val="fr-FR"/>
        </w:rPr>
        <w:t>Chapoutot</w:t>
      </w:r>
      <w:proofErr w:type="spellEnd"/>
      <w:r w:rsidRPr="00B124C0">
        <w:rPr>
          <w:rFonts w:asciiTheme="majorHAnsi" w:hAnsiTheme="majorHAnsi" w:cstheme="majorHAnsi"/>
          <w:b/>
          <w:bCs/>
          <w:lang w:val="fr-FR"/>
        </w:rPr>
        <w:t>, J.</w:t>
      </w:r>
      <w:r w:rsidRPr="00B124C0">
        <w:rPr>
          <w:rFonts w:asciiTheme="majorHAnsi" w:hAnsiTheme="majorHAnsi" w:cstheme="majorHAnsi"/>
          <w:lang w:val="fr-FR"/>
        </w:rPr>
        <w:t xml:space="preserve"> (2017) </w:t>
      </w:r>
      <w:r w:rsidRPr="00B124C0">
        <w:rPr>
          <w:rFonts w:asciiTheme="majorHAnsi" w:hAnsiTheme="majorHAnsi" w:cstheme="majorHAnsi"/>
          <w:i/>
          <w:iCs/>
          <w:lang w:val="fr-FR"/>
        </w:rPr>
        <w:t>La Révolution culturelle nazie</w:t>
      </w:r>
      <w:r w:rsidRPr="00B124C0">
        <w:rPr>
          <w:rFonts w:asciiTheme="majorHAnsi" w:hAnsiTheme="majorHAnsi" w:cstheme="majorHAnsi"/>
          <w:lang w:val="fr-FR"/>
        </w:rPr>
        <w:t xml:space="preserve">. </w:t>
      </w:r>
      <w:proofErr w:type="gramStart"/>
      <w:r w:rsidRPr="00B124C0">
        <w:rPr>
          <w:rFonts w:asciiTheme="majorHAnsi" w:hAnsiTheme="majorHAnsi" w:cstheme="majorHAnsi"/>
          <w:lang w:val="fr-FR"/>
        </w:rPr>
        <w:t>Paris:</w:t>
      </w:r>
      <w:proofErr w:type="gramEnd"/>
      <w:r w:rsidRPr="00B124C0">
        <w:rPr>
          <w:rFonts w:asciiTheme="majorHAnsi" w:hAnsiTheme="majorHAnsi" w:cstheme="majorHAnsi"/>
          <w:lang w:val="fr-FR"/>
        </w:rPr>
        <w:t xml:space="preserve"> Gallimard.</w:t>
      </w:r>
      <w:r w:rsidRPr="00B124C0">
        <w:rPr>
          <w:rFonts w:asciiTheme="majorHAnsi" w:hAnsiTheme="majorHAnsi" w:cstheme="majorHAnsi"/>
          <w:lang w:val="fr-FR"/>
        </w:rPr>
        <w:br/>
      </w:r>
      <w:r w:rsidRPr="00B124C0">
        <w:rPr>
          <w:rFonts w:asciiTheme="majorHAnsi" w:hAnsiTheme="majorHAnsi" w:cstheme="majorHAnsi"/>
          <w:b/>
          <w:bCs/>
          <w:lang w:val="fr-FR"/>
        </w:rPr>
        <w:t>Clark, J. A., Bruce, J. M., Kessel, J. H., &amp; Jacoby, W. G.</w:t>
      </w:r>
      <w:r w:rsidRPr="00B124C0">
        <w:rPr>
          <w:rFonts w:asciiTheme="majorHAnsi" w:hAnsiTheme="majorHAnsi" w:cstheme="majorHAnsi"/>
          <w:lang w:val="fr-FR"/>
        </w:rPr>
        <w:t xml:space="preserve"> (1991). </w:t>
      </w:r>
      <w:r w:rsidRPr="00B124C0">
        <w:rPr>
          <w:rFonts w:asciiTheme="majorHAnsi" w:hAnsiTheme="majorHAnsi" w:cstheme="majorHAnsi"/>
        </w:rPr>
        <w:t xml:space="preserve">I’d Rather Switch than Fight: Lifelong Democrats and Converts to Republicanism among Campaign Activists. </w:t>
      </w:r>
      <w:r w:rsidRPr="00B124C0">
        <w:rPr>
          <w:rFonts w:asciiTheme="majorHAnsi" w:hAnsiTheme="majorHAnsi" w:cstheme="majorHAnsi"/>
          <w:i/>
          <w:iCs/>
        </w:rPr>
        <w:t>American Journal of Political Science</w:t>
      </w:r>
      <w:r w:rsidRPr="00B124C0">
        <w:rPr>
          <w:rFonts w:asciiTheme="majorHAnsi" w:hAnsiTheme="majorHAnsi" w:cstheme="majorHAnsi"/>
        </w:rPr>
        <w:t xml:space="preserve">, 35(3), 577–597. </w:t>
      </w:r>
      <w:hyperlink r:id="rId11" w:tgtFrame="_new" w:history="1">
        <w:r w:rsidRPr="00B124C0">
          <w:rPr>
            <w:rStyle w:val="Hyperlink"/>
            <w:rFonts w:asciiTheme="majorHAnsi" w:hAnsiTheme="majorHAnsi" w:cstheme="majorHAnsi"/>
          </w:rPr>
          <w:t>https://doi.org/10.2307/2111554</w:t>
        </w:r>
      </w:hyperlink>
      <w:r w:rsidRPr="00B124C0">
        <w:rPr>
          <w:rFonts w:asciiTheme="majorHAnsi" w:hAnsiTheme="majorHAnsi" w:cstheme="majorHAnsi"/>
        </w:rPr>
        <w:br/>
      </w:r>
      <w:r w:rsidRPr="00B124C0">
        <w:rPr>
          <w:rFonts w:asciiTheme="majorHAnsi" w:hAnsiTheme="majorHAnsi" w:cstheme="majorHAnsi"/>
          <w:b/>
          <w:bCs/>
        </w:rPr>
        <w:t>Cohen, S.</w:t>
      </w:r>
      <w:r w:rsidRPr="00B124C0">
        <w:rPr>
          <w:rFonts w:asciiTheme="majorHAnsi" w:hAnsiTheme="majorHAnsi" w:cstheme="majorHAnsi"/>
        </w:rPr>
        <w:t xml:space="preserve"> (1972). </w:t>
      </w:r>
      <w:r w:rsidRPr="00B124C0">
        <w:rPr>
          <w:rFonts w:asciiTheme="majorHAnsi" w:hAnsiTheme="majorHAnsi" w:cstheme="majorHAnsi"/>
          <w:i/>
          <w:iCs/>
        </w:rPr>
        <w:t>Folk Devils and Moral Panics: The Creation of the Mods and Rockers</w:t>
      </w:r>
      <w:r w:rsidRPr="00B124C0">
        <w:rPr>
          <w:rFonts w:asciiTheme="majorHAnsi" w:hAnsiTheme="majorHAnsi" w:cstheme="majorHAnsi"/>
        </w:rPr>
        <w:t>. Routledge.</w:t>
      </w:r>
      <w:r w:rsidRPr="00B124C0">
        <w:rPr>
          <w:rFonts w:asciiTheme="majorHAnsi" w:hAnsiTheme="majorHAnsi" w:cstheme="majorHAnsi"/>
        </w:rPr>
        <w:br/>
      </w:r>
      <w:r w:rsidRPr="00B124C0">
        <w:rPr>
          <w:rFonts w:asciiTheme="majorHAnsi" w:hAnsiTheme="majorHAnsi" w:cstheme="majorHAnsi"/>
          <w:b/>
          <w:bCs/>
        </w:rPr>
        <w:t>Creswell, J. W., &amp; Plano Clark, V. L.</w:t>
      </w:r>
      <w:r w:rsidRPr="00B124C0">
        <w:rPr>
          <w:rFonts w:asciiTheme="majorHAnsi" w:hAnsiTheme="majorHAnsi" w:cstheme="majorHAnsi"/>
        </w:rPr>
        <w:t xml:space="preserve"> (2017). </w:t>
      </w:r>
      <w:r w:rsidRPr="00B124C0">
        <w:rPr>
          <w:rFonts w:asciiTheme="majorHAnsi" w:hAnsiTheme="majorHAnsi" w:cstheme="majorHAnsi"/>
          <w:i/>
          <w:iCs/>
        </w:rPr>
        <w:t>Designing and Conducting Mixed Methods Research</w:t>
      </w:r>
      <w:r w:rsidRPr="00B124C0">
        <w:rPr>
          <w:rFonts w:asciiTheme="majorHAnsi" w:hAnsiTheme="majorHAnsi" w:cstheme="majorHAnsi"/>
        </w:rPr>
        <w:t xml:space="preserve"> (3rd ed.). SAGE Publications.</w:t>
      </w:r>
      <w:r w:rsidRPr="00B124C0">
        <w:rPr>
          <w:rFonts w:asciiTheme="majorHAnsi" w:hAnsiTheme="majorHAnsi" w:cstheme="majorHAnsi"/>
        </w:rPr>
        <w:br/>
      </w:r>
      <w:r w:rsidRPr="00B124C0">
        <w:rPr>
          <w:rFonts w:asciiTheme="majorHAnsi" w:hAnsiTheme="majorHAnsi" w:cstheme="majorHAnsi"/>
          <w:b/>
          <w:bCs/>
        </w:rPr>
        <w:lastRenderedPageBreak/>
        <w:t>Davison, G. C., &amp; Walden, K. R.</w:t>
      </w:r>
      <w:r w:rsidRPr="00B124C0">
        <w:rPr>
          <w:rFonts w:asciiTheme="majorHAnsi" w:hAnsiTheme="majorHAnsi" w:cstheme="majorHAnsi"/>
        </w:rPr>
        <w:t xml:space="preserve"> (2024). History and Iatrogenic Effects of Conversion Therapy. </w:t>
      </w:r>
      <w:r w:rsidRPr="00B124C0">
        <w:rPr>
          <w:rFonts w:asciiTheme="majorHAnsi" w:hAnsiTheme="majorHAnsi" w:cstheme="majorHAnsi"/>
          <w:i/>
          <w:iCs/>
        </w:rPr>
        <w:t>Annual Review of Clinical Psychology</w:t>
      </w:r>
      <w:r w:rsidRPr="00B124C0">
        <w:rPr>
          <w:rFonts w:asciiTheme="majorHAnsi" w:hAnsiTheme="majorHAnsi" w:cstheme="majorHAnsi"/>
        </w:rPr>
        <w:t>, 20.</w:t>
      </w:r>
      <w:r w:rsidRPr="00B124C0">
        <w:rPr>
          <w:rFonts w:asciiTheme="majorHAnsi" w:hAnsiTheme="majorHAnsi" w:cstheme="majorHAnsi"/>
        </w:rPr>
        <w:br/>
      </w:r>
      <w:proofErr w:type="spellStart"/>
      <w:r w:rsidRPr="00B124C0">
        <w:rPr>
          <w:rFonts w:asciiTheme="majorHAnsi" w:hAnsiTheme="majorHAnsi" w:cstheme="majorHAnsi"/>
          <w:b/>
          <w:bCs/>
        </w:rPr>
        <w:t>Dejean</w:t>
      </w:r>
      <w:proofErr w:type="spellEnd"/>
      <w:r w:rsidRPr="00B124C0">
        <w:rPr>
          <w:rFonts w:asciiTheme="majorHAnsi" w:hAnsiTheme="majorHAnsi" w:cstheme="majorHAnsi"/>
          <w:b/>
          <w:bCs/>
        </w:rPr>
        <w:t>, F.</w:t>
      </w:r>
      <w:r w:rsidRPr="00B124C0">
        <w:rPr>
          <w:rFonts w:asciiTheme="majorHAnsi" w:hAnsiTheme="majorHAnsi" w:cstheme="majorHAnsi"/>
        </w:rPr>
        <w:t xml:space="preserve"> (2022). </w:t>
      </w:r>
      <w:r w:rsidRPr="00B124C0">
        <w:rPr>
          <w:rFonts w:asciiTheme="majorHAnsi" w:hAnsiTheme="majorHAnsi" w:cstheme="majorHAnsi"/>
          <w:lang w:val="fr-FR"/>
        </w:rPr>
        <w:t xml:space="preserve">L’analogie religieuse dans la critique du </w:t>
      </w:r>
      <w:proofErr w:type="spellStart"/>
      <w:r w:rsidRPr="00B124C0">
        <w:rPr>
          <w:rFonts w:asciiTheme="majorHAnsi" w:hAnsiTheme="majorHAnsi" w:cstheme="majorHAnsi"/>
          <w:lang w:val="fr-FR"/>
        </w:rPr>
        <w:t>wokisme</w:t>
      </w:r>
      <w:proofErr w:type="spellEnd"/>
      <w:r w:rsidRPr="00B124C0">
        <w:rPr>
          <w:rFonts w:asciiTheme="majorHAnsi" w:hAnsiTheme="majorHAnsi" w:cstheme="majorHAnsi"/>
          <w:lang w:val="fr-FR"/>
        </w:rPr>
        <w:t xml:space="preserve">. </w:t>
      </w:r>
      <w:r w:rsidRPr="00B124C0">
        <w:rPr>
          <w:rFonts w:asciiTheme="majorHAnsi" w:hAnsiTheme="majorHAnsi" w:cstheme="majorHAnsi"/>
          <w:i/>
          <w:iCs/>
          <w:lang w:val="fr-FR"/>
        </w:rPr>
        <w:t>La Vie des idées</w:t>
      </w:r>
      <w:r w:rsidRPr="00B124C0">
        <w:rPr>
          <w:rFonts w:asciiTheme="majorHAnsi" w:hAnsiTheme="majorHAnsi" w:cstheme="majorHAnsi"/>
          <w:lang w:val="fr-FR"/>
        </w:rPr>
        <w:t>, 8.</w:t>
      </w:r>
      <w:r w:rsidRPr="00B124C0">
        <w:rPr>
          <w:rFonts w:asciiTheme="majorHAnsi" w:hAnsiTheme="majorHAnsi" w:cstheme="majorHAnsi"/>
          <w:lang w:val="fr-FR"/>
        </w:rPr>
        <w:br/>
      </w:r>
      <w:proofErr w:type="spellStart"/>
      <w:r w:rsidRPr="00B124C0">
        <w:rPr>
          <w:rFonts w:asciiTheme="majorHAnsi" w:hAnsiTheme="majorHAnsi" w:cstheme="majorHAnsi"/>
          <w:b/>
          <w:bCs/>
        </w:rPr>
        <w:t>Despotis</w:t>
      </w:r>
      <w:proofErr w:type="spellEnd"/>
      <w:r w:rsidRPr="00B124C0">
        <w:rPr>
          <w:rFonts w:asciiTheme="majorHAnsi" w:hAnsiTheme="majorHAnsi" w:cstheme="majorHAnsi"/>
          <w:b/>
          <w:bCs/>
        </w:rPr>
        <w:t xml:space="preserve">, A. and </w:t>
      </w:r>
      <w:proofErr w:type="spellStart"/>
      <w:r w:rsidRPr="00B124C0">
        <w:rPr>
          <w:rFonts w:asciiTheme="majorHAnsi" w:hAnsiTheme="majorHAnsi" w:cstheme="majorHAnsi"/>
          <w:b/>
          <w:bCs/>
        </w:rPr>
        <w:t>Löhr</w:t>
      </w:r>
      <w:proofErr w:type="spellEnd"/>
      <w:r w:rsidRPr="00B124C0">
        <w:rPr>
          <w:rFonts w:asciiTheme="majorHAnsi" w:hAnsiTheme="majorHAnsi" w:cstheme="majorHAnsi"/>
          <w:b/>
          <w:bCs/>
        </w:rPr>
        <w:t>, H. (eds.)</w:t>
      </w:r>
      <w:r w:rsidRPr="00B124C0">
        <w:rPr>
          <w:rFonts w:asciiTheme="majorHAnsi" w:hAnsiTheme="majorHAnsi" w:cstheme="majorHAnsi"/>
        </w:rPr>
        <w:t xml:space="preserve"> (2022) </w:t>
      </w:r>
      <w:r w:rsidRPr="00B124C0">
        <w:rPr>
          <w:rFonts w:asciiTheme="majorHAnsi" w:hAnsiTheme="majorHAnsi" w:cstheme="majorHAnsi"/>
          <w:i/>
          <w:iCs/>
        </w:rPr>
        <w:t>Religious and philosophical conversion in the ancient Mediterranean traditions</w:t>
      </w:r>
      <w:r w:rsidRPr="00B124C0">
        <w:rPr>
          <w:rFonts w:asciiTheme="majorHAnsi" w:hAnsiTheme="majorHAnsi" w:cstheme="majorHAnsi"/>
        </w:rPr>
        <w:t xml:space="preserve">. Leiden: Brill. </w:t>
      </w:r>
      <w:hyperlink r:id="rId12" w:tgtFrame="_new" w:history="1">
        <w:r w:rsidRPr="00B124C0">
          <w:rPr>
            <w:rStyle w:val="Hyperlink"/>
            <w:rFonts w:asciiTheme="majorHAnsi" w:hAnsiTheme="majorHAnsi" w:cstheme="majorHAnsi"/>
          </w:rPr>
          <w:t>https://doi.org/10.1163/9789004501775</w:t>
        </w:r>
      </w:hyperlink>
      <w:r w:rsidRPr="00B124C0">
        <w:rPr>
          <w:rFonts w:asciiTheme="majorHAnsi" w:hAnsiTheme="majorHAnsi" w:cstheme="majorHAnsi"/>
        </w:rPr>
        <w:t>.</w:t>
      </w:r>
      <w:r w:rsidRPr="00B124C0">
        <w:rPr>
          <w:rFonts w:asciiTheme="majorHAnsi" w:hAnsiTheme="majorHAnsi" w:cstheme="majorHAnsi"/>
        </w:rPr>
        <w:br/>
      </w:r>
      <w:proofErr w:type="spellStart"/>
      <w:r w:rsidRPr="00B124C0">
        <w:rPr>
          <w:rFonts w:asciiTheme="majorHAnsi" w:hAnsiTheme="majorHAnsi" w:cstheme="majorHAnsi"/>
          <w:b/>
          <w:bCs/>
        </w:rPr>
        <w:t>Doosje</w:t>
      </w:r>
      <w:proofErr w:type="spellEnd"/>
      <w:r w:rsidRPr="00B124C0">
        <w:rPr>
          <w:rFonts w:asciiTheme="majorHAnsi" w:hAnsiTheme="majorHAnsi" w:cstheme="majorHAnsi"/>
          <w:b/>
          <w:bCs/>
        </w:rPr>
        <w:t xml:space="preserve">, B., </w:t>
      </w:r>
      <w:proofErr w:type="spellStart"/>
      <w:r w:rsidRPr="00B124C0">
        <w:rPr>
          <w:rFonts w:asciiTheme="majorHAnsi" w:hAnsiTheme="majorHAnsi" w:cstheme="majorHAnsi"/>
          <w:b/>
          <w:bCs/>
        </w:rPr>
        <w:t>Loseman</w:t>
      </w:r>
      <w:proofErr w:type="spellEnd"/>
      <w:r w:rsidRPr="00B124C0">
        <w:rPr>
          <w:rFonts w:asciiTheme="majorHAnsi" w:hAnsiTheme="majorHAnsi" w:cstheme="majorHAnsi"/>
          <w:b/>
          <w:bCs/>
        </w:rPr>
        <w:t>, A. and Van Den Bos, K.</w:t>
      </w:r>
      <w:r w:rsidRPr="00B124C0">
        <w:rPr>
          <w:rFonts w:asciiTheme="majorHAnsi" w:hAnsiTheme="majorHAnsi" w:cstheme="majorHAnsi"/>
        </w:rPr>
        <w:t xml:space="preserve"> (2013) ‘Determinants of radicalization of Islamic youth in the Netherlands’, </w:t>
      </w:r>
      <w:r w:rsidRPr="00B124C0">
        <w:rPr>
          <w:rFonts w:asciiTheme="majorHAnsi" w:hAnsiTheme="majorHAnsi" w:cstheme="majorHAnsi"/>
          <w:i/>
          <w:iCs/>
        </w:rPr>
        <w:t>Journal of Social Issues</w:t>
      </w:r>
      <w:r w:rsidRPr="00B124C0">
        <w:rPr>
          <w:rFonts w:asciiTheme="majorHAnsi" w:hAnsiTheme="majorHAnsi" w:cstheme="majorHAnsi"/>
        </w:rPr>
        <w:t>, 69(3), pp. 586-604.</w:t>
      </w:r>
      <w:r w:rsidRPr="00B124C0">
        <w:rPr>
          <w:rFonts w:asciiTheme="majorHAnsi" w:hAnsiTheme="majorHAnsi" w:cstheme="majorHAnsi"/>
        </w:rPr>
        <w:br/>
      </w:r>
      <w:r w:rsidRPr="00B124C0">
        <w:rPr>
          <w:rFonts w:asciiTheme="majorHAnsi" w:hAnsiTheme="majorHAnsi" w:cstheme="majorHAnsi"/>
          <w:b/>
          <w:bCs/>
        </w:rPr>
        <w:t>Doyle, W.</w:t>
      </w:r>
      <w:r w:rsidRPr="00B124C0">
        <w:rPr>
          <w:rFonts w:asciiTheme="majorHAnsi" w:hAnsiTheme="majorHAnsi" w:cstheme="majorHAnsi"/>
        </w:rPr>
        <w:t xml:space="preserve"> (1980) </w:t>
      </w:r>
      <w:r w:rsidRPr="00B124C0">
        <w:rPr>
          <w:rFonts w:asciiTheme="majorHAnsi" w:hAnsiTheme="majorHAnsi" w:cstheme="majorHAnsi"/>
          <w:i/>
          <w:iCs/>
        </w:rPr>
        <w:t>The Oxford history of the French Revolution</w:t>
      </w:r>
      <w:r w:rsidRPr="00B124C0">
        <w:rPr>
          <w:rFonts w:asciiTheme="majorHAnsi" w:hAnsiTheme="majorHAnsi" w:cstheme="majorHAnsi"/>
        </w:rPr>
        <w:t>. Oxford: Oxford University Press.</w:t>
      </w:r>
      <w:r w:rsidRPr="00B124C0">
        <w:rPr>
          <w:rFonts w:asciiTheme="majorHAnsi" w:hAnsiTheme="majorHAnsi" w:cstheme="majorHAnsi"/>
        </w:rPr>
        <w:br/>
      </w:r>
      <w:proofErr w:type="spellStart"/>
      <w:r w:rsidRPr="00B124C0">
        <w:rPr>
          <w:rFonts w:asciiTheme="majorHAnsi" w:hAnsiTheme="majorHAnsi" w:cstheme="majorHAnsi"/>
          <w:b/>
          <w:bCs/>
        </w:rPr>
        <w:t>Ellwanger</w:t>
      </w:r>
      <w:proofErr w:type="spellEnd"/>
      <w:r w:rsidRPr="00B124C0">
        <w:rPr>
          <w:rFonts w:asciiTheme="majorHAnsi" w:hAnsiTheme="majorHAnsi" w:cstheme="majorHAnsi"/>
          <w:b/>
          <w:bCs/>
        </w:rPr>
        <w:t>, A.</w:t>
      </w:r>
      <w:r w:rsidRPr="00B124C0">
        <w:rPr>
          <w:rFonts w:asciiTheme="majorHAnsi" w:hAnsiTheme="majorHAnsi" w:cstheme="majorHAnsi"/>
        </w:rPr>
        <w:t xml:space="preserve"> (2012) ‘Apology as </w:t>
      </w:r>
      <w:proofErr w:type="spellStart"/>
      <w:r w:rsidRPr="00B124C0">
        <w:rPr>
          <w:rFonts w:asciiTheme="majorHAnsi" w:hAnsiTheme="majorHAnsi" w:cstheme="majorHAnsi"/>
        </w:rPr>
        <w:t>metanoic</w:t>
      </w:r>
      <w:proofErr w:type="spellEnd"/>
      <w:r w:rsidRPr="00B124C0">
        <w:rPr>
          <w:rFonts w:asciiTheme="majorHAnsi" w:hAnsiTheme="majorHAnsi" w:cstheme="majorHAnsi"/>
        </w:rPr>
        <w:t xml:space="preserve"> performance’, </w:t>
      </w:r>
      <w:r w:rsidRPr="00B124C0">
        <w:rPr>
          <w:rFonts w:asciiTheme="majorHAnsi" w:hAnsiTheme="majorHAnsi" w:cstheme="majorHAnsi"/>
          <w:i/>
          <w:iCs/>
        </w:rPr>
        <w:t>Rhetoric Society Quarterly</w:t>
      </w:r>
      <w:r w:rsidRPr="00B124C0">
        <w:rPr>
          <w:rFonts w:asciiTheme="majorHAnsi" w:hAnsiTheme="majorHAnsi" w:cstheme="majorHAnsi"/>
        </w:rPr>
        <w:t>, 42(4), pp. 307-329.</w:t>
      </w:r>
      <w:r w:rsidRPr="00B124C0">
        <w:rPr>
          <w:rFonts w:asciiTheme="majorHAnsi" w:hAnsiTheme="majorHAnsi" w:cstheme="majorHAnsi"/>
        </w:rPr>
        <w:br/>
      </w:r>
      <w:proofErr w:type="spellStart"/>
      <w:r w:rsidRPr="00B124C0">
        <w:rPr>
          <w:rFonts w:asciiTheme="majorHAnsi" w:hAnsiTheme="majorHAnsi" w:cstheme="majorHAnsi"/>
          <w:b/>
          <w:bCs/>
        </w:rPr>
        <w:t>Ellwanger</w:t>
      </w:r>
      <w:proofErr w:type="spellEnd"/>
      <w:r w:rsidRPr="00B124C0">
        <w:rPr>
          <w:rFonts w:asciiTheme="majorHAnsi" w:hAnsiTheme="majorHAnsi" w:cstheme="majorHAnsi"/>
          <w:b/>
          <w:bCs/>
        </w:rPr>
        <w:t>, A.</w:t>
      </w:r>
      <w:r w:rsidRPr="00B124C0">
        <w:rPr>
          <w:rFonts w:asciiTheme="majorHAnsi" w:hAnsiTheme="majorHAnsi" w:cstheme="majorHAnsi"/>
        </w:rPr>
        <w:t xml:space="preserve"> (2020) </w:t>
      </w:r>
      <w:r w:rsidRPr="00B124C0">
        <w:rPr>
          <w:rFonts w:asciiTheme="majorHAnsi" w:hAnsiTheme="majorHAnsi" w:cstheme="majorHAnsi"/>
          <w:i/>
          <w:iCs/>
        </w:rPr>
        <w:t>Metanoia: Rhetoric, authenticity, and the transformation of the self</w:t>
      </w:r>
      <w:r w:rsidRPr="00B124C0">
        <w:rPr>
          <w:rFonts w:asciiTheme="majorHAnsi" w:hAnsiTheme="majorHAnsi" w:cstheme="majorHAnsi"/>
        </w:rPr>
        <w:t>. University Park, PA: Penn State Press.</w:t>
      </w:r>
      <w:r w:rsidRPr="00B124C0">
        <w:rPr>
          <w:rFonts w:asciiTheme="majorHAnsi" w:hAnsiTheme="majorHAnsi" w:cstheme="majorHAnsi"/>
        </w:rPr>
        <w:br/>
      </w:r>
      <w:proofErr w:type="spellStart"/>
      <w:r w:rsidRPr="00B124C0">
        <w:rPr>
          <w:rFonts w:asciiTheme="majorHAnsi" w:hAnsiTheme="majorHAnsi" w:cstheme="majorHAnsi"/>
          <w:b/>
          <w:bCs/>
        </w:rPr>
        <w:t>Espín</w:t>
      </w:r>
      <w:proofErr w:type="spellEnd"/>
      <w:r w:rsidRPr="00B124C0">
        <w:rPr>
          <w:rFonts w:asciiTheme="majorHAnsi" w:hAnsiTheme="majorHAnsi" w:cstheme="majorHAnsi"/>
          <w:b/>
          <w:bCs/>
        </w:rPr>
        <w:t xml:space="preserve">-Sánchez, J.-A., DeLuca, K., Zang, E., McCoy, T., &amp; </w:t>
      </w:r>
      <w:proofErr w:type="spellStart"/>
      <w:r w:rsidRPr="00B124C0">
        <w:rPr>
          <w:rFonts w:asciiTheme="majorHAnsi" w:hAnsiTheme="majorHAnsi" w:cstheme="majorHAnsi"/>
          <w:b/>
          <w:bCs/>
        </w:rPr>
        <w:t>Kovács</w:t>
      </w:r>
      <w:proofErr w:type="spellEnd"/>
      <w:r w:rsidRPr="00B124C0">
        <w:rPr>
          <w:rFonts w:asciiTheme="majorHAnsi" w:hAnsiTheme="majorHAnsi" w:cstheme="majorHAnsi"/>
          <w:b/>
          <w:bCs/>
        </w:rPr>
        <w:t>, B.</w:t>
      </w:r>
      <w:r w:rsidRPr="00B124C0">
        <w:rPr>
          <w:rFonts w:asciiTheme="majorHAnsi" w:hAnsiTheme="majorHAnsi" w:cstheme="majorHAnsi"/>
        </w:rPr>
        <w:t xml:space="preserve"> (2024). AI Accelerates Research Across Social Sciences. </w:t>
      </w:r>
      <w:r w:rsidRPr="00B124C0">
        <w:rPr>
          <w:rFonts w:asciiTheme="majorHAnsi" w:hAnsiTheme="majorHAnsi" w:cstheme="majorHAnsi"/>
          <w:i/>
          <w:iCs/>
        </w:rPr>
        <w:t>Institution for Social and Policy Studies Blog</w:t>
      </w:r>
      <w:r w:rsidRPr="00B124C0">
        <w:rPr>
          <w:rFonts w:asciiTheme="majorHAnsi" w:hAnsiTheme="majorHAnsi" w:cstheme="majorHAnsi"/>
        </w:rPr>
        <w:t>.</w:t>
      </w:r>
      <w:r w:rsidRPr="00B124C0">
        <w:rPr>
          <w:rFonts w:asciiTheme="majorHAnsi" w:hAnsiTheme="majorHAnsi" w:cstheme="majorHAnsi"/>
        </w:rPr>
        <w:br/>
      </w:r>
      <w:r w:rsidRPr="00B124C0">
        <w:rPr>
          <w:rFonts w:asciiTheme="majorHAnsi" w:hAnsiTheme="majorHAnsi" w:cstheme="majorHAnsi"/>
          <w:b/>
          <w:bCs/>
        </w:rPr>
        <w:t>Fishman, R.</w:t>
      </w:r>
      <w:r w:rsidRPr="00B124C0">
        <w:rPr>
          <w:rFonts w:asciiTheme="majorHAnsi" w:hAnsiTheme="majorHAnsi" w:cstheme="majorHAnsi"/>
        </w:rPr>
        <w:t xml:space="preserve"> (2011) </w:t>
      </w:r>
      <w:r w:rsidRPr="00B124C0">
        <w:rPr>
          <w:rFonts w:asciiTheme="majorHAnsi" w:hAnsiTheme="majorHAnsi" w:cstheme="majorHAnsi"/>
          <w:i/>
          <w:iCs/>
        </w:rPr>
        <w:t>Societal transformations and political change</w:t>
      </w:r>
      <w:r w:rsidRPr="00B124C0">
        <w:rPr>
          <w:rFonts w:asciiTheme="majorHAnsi" w:hAnsiTheme="majorHAnsi" w:cstheme="majorHAnsi"/>
        </w:rPr>
        <w:t>.</w:t>
      </w:r>
      <w:r w:rsidRPr="00B124C0">
        <w:rPr>
          <w:rFonts w:asciiTheme="majorHAnsi" w:hAnsiTheme="majorHAnsi" w:cstheme="majorHAnsi"/>
        </w:rPr>
        <w:br/>
      </w:r>
      <w:r w:rsidRPr="00B124C0">
        <w:rPr>
          <w:rFonts w:asciiTheme="majorHAnsi" w:hAnsiTheme="majorHAnsi" w:cstheme="majorHAnsi"/>
          <w:b/>
          <w:bCs/>
        </w:rPr>
        <w:t>Foley, M.P.</w:t>
      </w:r>
      <w:r w:rsidRPr="00B124C0">
        <w:rPr>
          <w:rFonts w:asciiTheme="majorHAnsi" w:hAnsiTheme="majorHAnsi" w:cstheme="majorHAnsi"/>
        </w:rPr>
        <w:t xml:space="preserve"> (2009) ‘Comedy, tragedy, and Saint Thomas More’, </w:t>
      </w:r>
      <w:proofErr w:type="spellStart"/>
      <w:r w:rsidRPr="00B124C0">
        <w:rPr>
          <w:rFonts w:asciiTheme="majorHAnsi" w:hAnsiTheme="majorHAnsi" w:cstheme="majorHAnsi"/>
          <w:i/>
          <w:iCs/>
        </w:rPr>
        <w:t>Moreana</w:t>
      </w:r>
      <w:proofErr w:type="spellEnd"/>
      <w:r w:rsidRPr="00B124C0">
        <w:rPr>
          <w:rFonts w:asciiTheme="majorHAnsi" w:hAnsiTheme="majorHAnsi" w:cstheme="majorHAnsi"/>
        </w:rPr>
        <w:t>, 46(1), pp. 143-156.</w:t>
      </w:r>
      <w:r w:rsidRPr="00B124C0">
        <w:rPr>
          <w:rFonts w:asciiTheme="majorHAnsi" w:hAnsiTheme="majorHAnsi" w:cstheme="majorHAnsi"/>
        </w:rPr>
        <w:br/>
      </w:r>
      <w:r w:rsidRPr="00B124C0">
        <w:rPr>
          <w:rFonts w:asciiTheme="majorHAnsi" w:hAnsiTheme="majorHAnsi" w:cstheme="majorHAnsi"/>
          <w:b/>
          <w:bCs/>
        </w:rPr>
        <w:t>Furet, F.</w:t>
      </w:r>
      <w:r w:rsidRPr="00B124C0">
        <w:rPr>
          <w:rFonts w:asciiTheme="majorHAnsi" w:hAnsiTheme="majorHAnsi" w:cstheme="majorHAnsi"/>
        </w:rPr>
        <w:t xml:space="preserve"> (1978) </w:t>
      </w:r>
      <w:r w:rsidRPr="00B124C0">
        <w:rPr>
          <w:rFonts w:asciiTheme="majorHAnsi" w:hAnsiTheme="majorHAnsi" w:cstheme="majorHAnsi"/>
          <w:i/>
          <w:iCs/>
        </w:rPr>
        <w:t xml:space="preserve">La </w:t>
      </w:r>
      <w:proofErr w:type="spellStart"/>
      <w:r w:rsidRPr="00B124C0">
        <w:rPr>
          <w:rFonts w:asciiTheme="majorHAnsi" w:hAnsiTheme="majorHAnsi" w:cstheme="majorHAnsi"/>
          <w:i/>
          <w:iCs/>
        </w:rPr>
        <w:t>Révolution</w:t>
      </w:r>
      <w:proofErr w:type="spellEnd"/>
      <w:r w:rsidRPr="00B124C0">
        <w:rPr>
          <w:rFonts w:asciiTheme="majorHAnsi" w:hAnsiTheme="majorHAnsi" w:cstheme="majorHAnsi"/>
          <w:i/>
          <w:iCs/>
        </w:rPr>
        <w:t xml:space="preserve"> française</w:t>
      </w:r>
      <w:r w:rsidRPr="00B124C0">
        <w:rPr>
          <w:rFonts w:asciiTheme="majorHAnsi" w:hAnsiTheme="majorHAnsi" w:cstheme="majorHAnsi"/>
        </w:rPr>
        <w:t>. Paris: Gallimard.</w:t>
      </w:r>
      <w:r w:rsidRPr="00B124C0">
        <w:rPr>
          <w:rFonts w:asciiTheme="majorHAnsi" w:hAnsiTheme="majorHAnsi" w:cstheme="majorHAnsi"/>
        </w:rPr>
        <w:br/>
      </w:r>
      <w:proofErr w:type="spellStart"/>
      <w:r w:rsidRPr="00B124C0">
        <w:rPr>
          <w:rFonts w:asciiTheme="majorHAnsi" w:hAnsiTheme="majorHAnsi" w:cstheme="majorHAnsi"/>
          <w:b/>
          <w:bCs/>
        </w:rPr>
        <w:t>Garcet</w:t>
      </w:r>
      <w:proofErr w:type="spellEnd"/>
      <w:r w:rsidRPr="00B124C0">
        <w:rPr>
          <w:rFonts w:asciiTheme="majorHAnsi" w:hAnsiTheme="majorHAnsi" w:cstheme="majorHAnsi"/>
          <w:b/>
          <w:bCs/>
        </w:rPr>
        <w:t>, S.</w:t>
      </w:r>
      <w:r w:rsidRPr="00B124C0">
        <w:rPr>
          <w:rFonts w:asciiTheme="majorHAnsi" w:hAnsiTheme="majorHAnsi" w:cstheme="majorHAnsi"/>
        </w:rPr>
        <w:t xml:space="preserve"> (2021) ‘Understanding the psychological aspects of the </w:t>
      </w:r>
      <w:proofErr w:type="spellStart"/>
      <w:r w:rsidRPr="00B124C0">
        <w:rPr>
          <w:rFonts w:asciiTheme="majorHAnsi" w:hAnsiTheme="majorHAnsi" w:cstheme="majorHAnsi"/>
        </w:rPr>
        <w:t>radicalisation</w:t>
      </w:r>
      <w:proofErr w:type="spellEnd"/>
      <w:r w:rsidRPr="00B124C0">
        <w:rPr>
          <w:rFonts w:asciiTheme="majorHAnsi" w:hAnsiTheme="majorHAnsi" w:cstheme="majorHAnsi"/>
        </w:rPr>
        <w:t xml:space="preserve"> process’, </w:t>
      </w:r>
      <w:r w:rsidRPr="00B124C0">
        <w:rPr>
          <w:rFonts w:asciiTheme="majorHAnsi" w:hAnsiTheme="majorHAnsi" w:cstheme="majorHAnsi"/>
          <w:i/>
          <w:iCs/>
        </w:rPr>
        <w:t>Forensic Sciences Research</w:t>
      </w:r>
      <w:r w:rsidRPr="00B124C0">
        <w:rPr>
          <w:rFonts w:asciiTheme="majorHAnsi" w:hAnsiTheme="majorHAnsi" w:cstheme="majorHAnsi"/>
        </w:rPr>
        <w:t>, 6(2), pp. 115–123.</w:t>
      </w:r>
      <w:r w:rsidRPr="00B124C0">
        <w:rPr>
          <w:rFonts w:asciiTheme="majorHAnsi" w:hAnsiTheme="majorHAnsi" w:cstheme="majorHAnsi"/>
        </w:rPr>
        <w:br/>
      </w:r>
      <w:r w:rsidRPr="00B124C0">
        <w:rPr>
          <w:rFonts w:asciiTheme="majorHAnsi" w:hAnsiTheme="majorHAnsi" w:cstheme="majorHAnsi"/>
          <w:b/>
          <w:bCs/>
          <w:lang w:val="fr-FR"/>
        </w:rPr>
        <w:t>Gentile, G.</w:t>
      </w:r>
      <w:r w:rsidRPr="00B124C0">
        <w:rPr>
          <w:rFonts w:asciiTheme="majorHAnsi" w:hAnsiTheme="majorHAnsi" w:cstheme="majorHAnsi"/>
          <w:lang w:val="fr-FR"/>
        </w:rPr>
        <w:t xml:space="preserve"> (1916) </w:t>
      </w:r>
      <w:r w:rsidRPr="00B124C0">
        <w:rPr>
          <w:rFonts w:asciiTheme="majorHAnsi" w:hAnsiTheme="majorHAnsi" w:cstheme="majorHAnsi"/>
          <w:i/>
          <w:iCs/>
          <w:lang w:val="fr-FR"/>
        </w:rPr>
        <w:t xml:space="preserve">La </w:t>
      </w:r>
      <w:proofErr w:type="spellStart"/>
      <w:r w:rsidRPr="00B124C0">
        <w:rPr>
          <w:rFonts w:asciiTheme="majorHAnsi" w:hAnsiTheme="majorHAnsi" w:cstheme="majorHAnsi"/>
          <w:i/>
          <w:iCs/>
          <w:lang w:val="fr-FR"/>
        </w:rPr>
        <w:t>filosofia</w:t>
      </w:r>
      <w:proofErr w:type="spellEnd"/>
      <w:r w:rsidRPr="00B124C0">
        <w:rPr>
          <w:rFonts w:asciiTheme="majorHAnsi" w:hAnsiTheme="majorHAnsi" w:cstheme="majorHAnsi"/>
          <w:i/>
          <w:iCs/>
          <w:lang w:val="fr-FR"/>
        </w:rPr>
        <w:t xml:space="preserve"> di </w:t>
      </w:r>
      <w:proofErr w:type="spellStart"/>
      <w:r w:rsidRPr="00B124C0">
        <w:rPr>
          <w:rFonts w:asciiTheme="majorHAnsi" w:hAnsiTheme="majorHAnsi" w:cstheme="majorHAnsi"/>
          <w:i/>
          <w:iCs/>
          <w:lang w:val="fr-FR"/>
        </w:rPr>
        <w:t>fascismo</w:t>
      </w:r>
      <w:proofErr w:type="spellEnd"/>
      <w:r w:rsidRPr="00B124C0">
        <w:rPr>
          <w:rFonts w:asciiTheme="majorHAnsi" w:hAnsiTheme="majorHAnsi" w:cstheme="majorHAnsi"/>
          <w:lang w:val="fr-FR"/>
        </w:rPr>
        <w:t xml:space="preserve">. </w:t>
      </w:r>
      <w:proofErr w:type="gramStart"/>
      <w:r w:rsidRPr="00B124C0">
        <w:rPr>
          <w:rFonts w:asciiTheme="majorHAnsi" w:hAnsiTheme="majorHAnsi" w:cstheme="majorHAnsi"/>
          <w:lang w:val="fr-FR"/>
        </w:rPr>
        <w:t>Florence:</w:t>
      </w:r>
      <w:proofErr w:type="gramEnd"/>
      <w:r w:rsidRPr="00B124C0">
        <w:rPr>
          <w:rFonts w:asciiTheme="majorHAnsi" w:hAnsiTheme="majorHAnsi" w:cstheme="majorHAnsi"/>
          <w:lang w:val="fr-FR"/>
        </w:rPr>
        <w:t xml:space="preserve"> La </w:t>
      </w:r>
      <w:proofErr w:type="spellStart"/>
      <w:r w:rsidRPr="00B124C0">
        <w:rPr>
          <w:rFonts w:asciiTheme="majorHAnsi" w:hAnsiTheme="majorHAnsi" w:cstheme="majorHAnsi"/>
          <w:lang w:val="fr-FR"/>
        </w:rPr>
        <w:t>Nuova</w:t>
      </w:r>
      <w:proofErr w:type="spellEnd"/>
      <w:r w:rsidRPr="00B124C0">
        <w:rPr>
          <w:rFonts w:asciiTheme="majorHAnsi" w:hAnsiTheme="majorHAnsi" w:cstheme="majorHAnsi"/>
          <w:lang w:val="fr-FR"/>
        </w:rPr>
        <w:t xml:space="preserve"> Italia.</w:t>
      </w:r>
      <w:r w:rsidRPr="00B124C0">
        <w:rPr>
          <w:rFonts w:asciiTheme="majorHAnsi" w:hAnsiTheme="majorHAnsi" w:cstheme="majorHAnsi"/>
          <w:lang w:val="fr-FR"/>
        </w:rPr>
        <w:br/>
      </w:r>
      <w:r w:rsidRPr="00B124C0">
        <w:rPr>
          <w:rFonts w:asciiTheme="majorHAnsi" w:hAnsiTheme="majorHAnsi" w:cstheme="majorHAnsi"/>
          <w:b/>
          <w:bCs/>
        </w:rPr>
        <w:t>Grossmann, I., Feinberg, M., Parker, D. C., Christakis, N. A., Tetlock, P. E., &amp; Cunningham, W. A.</w:t>
      </w:r>
      <w:r w:rsidRPr="00B124C0">
        <w:rPr>
          <w:rFonts w:asciiTheme="majorHAnsi" w:hAnsiTheme="majorHAnsi" w:cstheme="majorHAnsi"/>
        </w:rPr>
        <w:t xml:space="preserve"> (2023). AI and the transformation of social science research. </w:t>
      </w:r>
      <w:r w:rsidRPr="00B124C0">
        <w:rPr>
          <w:rFonts w:asciiTheme="majorHAnsi" w:hAnsiTheme="majorHAnsi" w:cstheme="majorHAnsi"/>
          <w:i/>
          <w:iCs/>
        </w:rPr>
        <w:t>Science</w:t>
      </w:r>
      <w:r w:rsidRPr="00B124C0">
        <w:rPr>
          <w:rFonts w:asciiTheme="majorHAnsi" w:hAnsiTheme="majorHAnsi" w:cstheme="majorHAnsi"/>
        </w:rPr>
        <w:t xml:space="preserve">, 380(6650), 1108–1109. </w:t>
      </w:r>
      <w:hyperlink r:id="rId13" w:tgtFrame="_new" w:history="1">
        <w:r w:rsidRPr="00B124C0">
          <w:rPr>
            <w:rStyle w:val="Hyperlink"/>
            <w:rFonts w:asciiTheme="majorHAnsi" w:hAnsiTheme="majorHAnsi" w:cstheme="majorHAnsi"/>
          </w:rPr>
          <w:t>https://doi.org/10.1126/science.adi1778</w:t>
        </w:r>
      </w:hyperlink>
      <w:r w:rsidRPr="00B124C0">
        <w:rPr>
          <w:rFonts w:asciiTheme="majorHAnsi" w:hAnsiTheme="majorHAnsi" w:cstheme="majorHAnsi"/>
        </w:rPr>
        <w:br/>
      </w:r>
      <w:proofErr w:type="spellStart"/>
      <w:r w:rsidRPr="00B124C0">
        <w:rPr>
          <w:rFonts w:asciiTheme="majorHAnsi" w:hAnsiTheme="majorHAnsi" w:cstheme="majorHAnsi"/>
          <w:b/>
          <w:bCs/>
        </w:rPr>
        <w:t>Hadot</w:t>
      </w:r>
      <w:proofErr w:type="spellEnd"/>
      <w:r w:rsidRPr="00B124C0">
        <w:rPr>
          <w:rFonts w:asciiTheme="majorHAnsi" w:hAnsiTheme="majorHAnsi" w:cstheme="majorHAnsi"/>
          <w:b/>
          <w:bCs/>
        </w:rPr>
        <w:t>, P.</w:t>
      </w:r>
      <w:r w:rsidRPr="00B124C0">
        <w:rPr>
          <w:rFonts w:asciiTheme="majorHAnsi" w:hAnsiTheme="majorHAnsi" w:cstheme="majorHAnsi"/>
        </w:rPr>
        <w:t xml:space="preserve"> (1953) ‘</w:t>
      </w:r>
      <w:proofErr w:type="spellStart"/>
      <w:r w:rsidRPr="00B124C0">
        <w:rPr>
          <w:rFonts w:asciiTheme="majorHAnsi" w:hAnsiTheme="majorHAnsi" w:cstheme="majorHAnsi"/>
        </w:rPr>
        <w:t>Epistrophè</w:t>
      </w:r>
      <w:proofErr w:type="spellEnd"/>
      <w:r w:rsidRPr="00B124C0">
        <w:rPr>
          <w:rFonts w:asciiTheme="majorHAnsi" w:hAnsiTheme="majorHAnsi" w:cstheme="majorHAnsi"/>
        </w:rPr>
        <w:t xml:space="preserve"> et metanoia dans </w:t>
      </w:r>
      <w:proofErr w:type="spellStart"/>
      <w:r w:rsidRPr="00B124C0">
        <w:rPr>
          <w:rFonts w:asciiTheme="majorHAnsi" w:hAnsiTheme="majorHAnsi" w:cstheme="majorHAnsi"/>
        </w:rPr>
        <w:t>l'histoire</w:t>
      </w:r>
      <w:proofErr w:type="spellEnd"/>
      <w:r w:rsidRPr="00B124C0">
        <w:rPr>
          <w:rFonts w:asciiTheme="majorHAnsi" w:hAnsiTheme="majorHAnsi" w:cstheme="majorHAnsi"/>
        </w:rPr>
        <w:t xml:space="preserve"> de la </w:t>
      </w:r>
      <w:proofErr w:type="spellStart"/>
      <w:r w:rsidRPr="00B124C0">
        <w:rPr>
          <w:rFonts w:asciiTheme="majorHAnsi" w:hAnsiTheme="majorHAnsi" w:cstheme="majorHAnsi"/>
        </w:rPr>
        <w:t>philosophie</w:t>
      </w:r>
      <w:proofErr w:type="spellEnd"/>
      <w:r w:rsidRPr="00B124C0">
        <w:rPr>
          <w:rFonts w:asciiTheme="majorHAnsi" w:hAnsiTheme="majorHAnsi" w:cstheme="majorHAnsi"/>
        </w:rPr>
        <w:t xml:space="preserve">’, </w:t>
      </w:r>
      <w:r w:rsidRPr="00B124C0">
        <w:rPr>
          <w:rFonts w:asciiTheme="majorHAnsi" w:hAnsiTheme="majorHAnsi" w:cstheme="majorHAnsi"/>
          <w:i/>
          <w:iCs/>
        </w:rPr>
        <w:t xml:space="preserve">Proceedings of the </w:t>
      </w:r>
      <w:proofErr w:type="spellStart"/>
      <w:r w:rsidRPr="00B124C0">
        <w:rPr>
          <w:rFonts w:asciiTheme="majorHAnsi" w:hAnsiTheme="majorHAnsi" w:cstheme="majorHAnsi"/>
          <w:i/>
          <w:iCs/>
        </w:rPr>
        <w:t>XIth</w:t>
      </w:r>
      <w:proofErr w:type="spellEnd"/>
      <w:r w:rsidRPr="00B124C0">
        <w:rPr>
          <w:rFonts w:asciiTheme="majorHAnsi" w:hAnsiTheme="majorHAnsi" w:cstheme="majorHAnsi"/>
          <w:i/>
          <w:iCs/>
        </w:rPr>
        <w:t xml:space="preserve"> International Congress of Philosophy</w:t>
      </w:r>
      <w:r w:rsidRPr="00B124C0">
        <w:rPr>
          <w:rFonts w:asciiTheme="majorHAnsi" w:hAnsiTheme="majorHAnsi" w:cstheme="majorHAnsi"/>
        </w:rPr>
        <w:t>, 12, pp. 31-36.</w:t>
      </w:r>
      <w:r w:rsidRPr="00B124C0">
        <w:rPr>
          <w:rFonts w:asciiTheme="majorHAnsi" w:hAnsiTheme="majorHAnsi" w:cstheme="majorHAnsi"/>
        </w:rPr>
        <w:br/>
      </w:r>
      <w:r w:rsidRPr="00B124C0">
        <w:rPr>
          <w:rFonts w:asciiTheme="majorHAnsi" w:hAnsiTheme="majorHAnsi" w:cstheme="majorHAnsi"/>
          <w:b/>
          <w:bCs/>
        </w:rPr>
        <w:t>Harman, E.</w:t>
      </w:r>
      <w:r w:rsidRPr="00B124C0">
        <w:rPr>
          <w:rFonts w:asciiTheme="majorHAnsi" w:hAnsiTheme="majorHAnsi" w:cstheme="majorHAnsi"/>
        </w:rPr>
        <w:t xml:space="preserve"> (2015) ‘Transformative experiences and reliance on moral testimony’, </w:t>
      </w:r>
      <w:r w:rsidRPr="00B124C0">
        <w:rPr>
          <w:rFonts w:asciiTheme="majorHAnsi" w:hAnsiTheme="majorHAnsi" w:cstheme="majorHAnsi"/>
          <w:i/>
          <w:iCs/>
        </w:rPr>
        <w:t xml:space="preserve">Res </w:t>
      </w:r>
      <w:proofErr w:type="spellStart"/>
      <w:r w:rsidRPr="00B124C0">
        <w:rPr>
          <w:rFonts w:asciiTheme="majorHAnsi" w:hAnsiTheme="majorHAnsi" w:cstheme="majorHAnsi"/>
          <w:i/>
          <w:iCs/>
        </w:rPr>
        <w:t>Philosophica</w:t>
      </w:r>
      <w:proofErr w:type="spellEnd"/>
      <w:r w:rsidRPr="00B124C0">
        <w:rPr>
          <w:rFonts w:asciiTheme="majorHAnsi" w:hAnsiTheme="majorHAnsi" w:cstheme="majorHAnsi"/>
        </w:rPr>
        <w:t>, 92, pp. 323–9.</w:t>
      </w:r>
      <w:r w:rsidRPr="00B124C0">
        <w:rPr>
          <w:rFonts w:asciiTheme="majorHAnsi" w:hAnsiTheme="majorHAnsi" w:cstheme="majorHAnsi"/>
        </w:rPr>
        <w:br/>
      </w:r>
      <w:proofErr w:type="spellStart"/>
      <w:r w:rsidRPr="00B124C0">
        <w:rPr>
          <w:rFonts w:asciiTheme="majorHAnsi" w:hAnsiTheme="majorHAnsi" w:cstheme="majorHAnsi"/>
          <w:b/>
          <w:bCs/>
        </w:rPr>
        <w:t>Heimann</w:t>
      </w:r>
      <w:proofErr w:type="spellEnd"/>
      <w:r w:rsidRPr="00B124C0">
        <w:rPr>
          <w:rFonts w:asciiTheme="majorHAnsi" w:hAnsiTheme="majorHAnsi" w:cstheme="majorHAnsi"/>
          <w:b/>
          <w:bCs/>
        </w:rPr>
        <w:t>, R.</w:t>
      </w:r>
      <w:r w:rsidRPr="00B124C0">
        <w:rPr>
          <w:rFonts w:asciiTheme="majorHAnsi" w:hAnsiTheme="majorHAnsi" w:cstheme="majorHAnsi"/>
        </w:rPr>
        <w:t xml:space="preserve"> (2022) ‘Metanoia in the Sermon on the Mount’, in </w:t>
      </w:r>
      <w:proofErr w:type="spellStart"/>
      <w:r w:rsidRPr="00B124C0">
        <w:rPr>
          <w:rFonts w:asciiTheme="majorHAnsi" w:hAnsiTheme="majorHAnsi" w:cstheme="majorHAnsi"/>
        </w:rPr>
        <w:t>Despotis</w:t>
      </w:r>
      <w:proofErr w:type="spellEnd"/>
      <w:r w:rsidRPr="00B124C0">
        <w:rPr>
          <w:rFonts w:asciiTheme="majorHAnsi" w:hAnsiTheme="majorHAnsi" w:cstheme="majorHAnsi"/>
        </w:rPr>
        <w:t xml:space="preserve"> &amp; </w:t>
      </w:r>
      <w:proofErr w:type="spellStart"/>
      <w:r w:rsidRPr="00B124C0">
        <w:rPr>
          <w:rFonts w:asciiTheme="majorHAnsi" w:hAnsiTheme="majorHAnsi" w:cstheme="majorHAnsi"/>
        </w:rPr>
        <w:t>Löhr</w:t>
      </w:r>
      <w:proofErr w:type="spellEnd"/>
      <w:r w:rsidRPr="00B124C0">
        <w:rPr>
          <w:rFonts w:asciiTheme="majorHAnsi" w:hAnsiTheme="majorHAnsi" w:cstheme="majorHAnsi"/>
        </w:rPr>
        <w:t xml:space="preserve"> (eds.) </w:t>
      </w:r>
      <w:r w:rsidRPr="00B124C0">
        <w:rPr>
          <w:rFonts w:asciiTheme="majorHAnsi" w:hAnsiTheme="majorHAnsi" w:cstheme="majorHAnsi"/>
          <w:i/>
          <w:iCs/>
        </w:rPr>
        <w:t>Religious and philosophical conversion</w:t>
      </w:r>
      <w:r w:rsidRPr="00B124C0">
        <w:rPr>
          <w:rFonts w:asciiTheme="majorHAnsi" w:hAnsiTheme="majorHAnsi" w:cstheme="majorHAnsi"/>
        </w:rPr>
        <w:t>, Brill, pp. 272-314.</w:t>
      </w:r>
      <w:r w:rsidRPr="00B124C0">
        <w:rPr>
          <w:rFonts w:asciiTheme="majorHAnsi" w:hAnsiTheme="majorHAnsi" w:cstheme="majorHAnsi"/>
        </w:rPr>
        <w:br/>
      </w:r>
      <w:proofErr w:type="spellStart"/>
      <w:r w:rsidRPr="00B124C0">
        <w:rPr>
          <w:rFonts w:asciiTheme="majorHAnsi" w:hAnsiTheme="majorHAnsi" w:cstheme="majorHAnsi"/>
          <w:b/>
          <w:bCs/>
        </w:rPr>
        <w:t>Heinich</w:t>
      </w:r>
      <w:proofErr w:type="spellEnd"/>
      <w:r w:rsidRPr="00B124C0">
        <w:rPr>
          <w:rFonts w:asciiTheme="majorHAnsi" w:hAnsiTheme="majorHAnsi" w:cstheme="majorHAnsi"/>
          <w:b/>
          <w:bCs/>
        </w:rPr>
        <w:t>, N.</w:t>
      </w:r>
      <w:r w:rsidRPr="00B124C0">
        <w:rPr>
          <w:rFonts w:asciiTheme="majorHAnsi" w:hAnsiTheme="majorHAnsi" w:cstheme="majorHAnsi"/>
        </w:rPr>
        <w:t xml:space="preserve"> (2014) ‘Limits of religious analogy: The example of celebrity’, </w:t>
      </w:r>
      <w:r w:rsidRPr="00B124C0">
        <w:rPr>
          <w:rFonts w:asciiTheme="majorHAnsi" w:hAnsiTheme="majorHAnsi" w:cstheme="majorHAnsi"/>
          <w:i/>
          <w:iCs/>
        </w:rPr>
        <w:t>Social Sciences</w:t>
      </w:r>
      <w:r w:rsidRPr="00B124C0">
        <w:rPr>
          <w:rFonts w:asciiTheme="majorHAnsi" w:hAnsiTheme="majorHAnsi" w:cstheme="majorHAnsi"/>
        </w:rPr>
        <w:t xml:space="preserve">, 3(1), pp. 71-83. </w:t>
      </w:r>
      <w:hyperlink r:id="rId14" w:tgtFrame="_new" w:history="1">
        <w:r w:rsidRPr="00B124C0">
          <w:rPr>
            <w:rStyle w:val="Hyperlink"/>
            <w:rFonts w:asciiTheme="majorHAnsi" w:hAnsiTheme="majorHAnsi" w:cstheme="majorHAnsi"/>
          </w:rPr>
          <w:t>https://doi.org/10.3390/socsci3010071</w:t>
        </w:r>
      </w:hyperlink>
      <w:r w:rsidRPr="00B124C0">
        <w:rPr>
          <w:rFonts w:asciiTheme="majorHAnsi" w:hAnsiTheme="majorHAnsi" w:cstheme="majorHAnsi"/>
        </w:rPr>
        <w:br/>
      </w:r>
      <w:r w:rsidRPr="00B124C0">
        <w:rPr>
          <w:rFonts w:asciiTheme="majorHAnsi" w:hAnsiTheme="majorHAnsi" w:cstheme="majorHAnsi"/>
          <w:b/>
          <w:bCs/>
        </w:rPr>
        <w:t>Holland, T.</w:t>
      </w:r>
      <w:r w:rsidRPr="00B124C0">
        <w:rPr>
          <w:rFonts w:asciiTheme="majorHAnsi" w:hAnsiTheme="majorHAnsi" w:cstheme="majorHAnsi"/>
        </w:rPr>
        <w:t xml:space="preserve"> (2019) </w:t>
      </w:r>
      <w:r w:rsidRPr="00B124C0">
        <w:rPr>
          <w:rFonts w:asciiTheme="majorHAnsi" w:hAnsiTheme="majorHAnsi" w:cstheme="majorHAnsi"/>
          <w:i/>
          <w:iCs/>
        </w:rPr>
        <w:t>Dominion: The making of the Western mind</w:t>
      </w:r>
      <w:r w:rsidRPr="00B124C0">
        <w:rPr>
          <w:rFonts w:asciiTheme="majorHAnsi" w:hAnsiTheme="majorHAnsi" w:cstheme="majorHAnsi"/>
        </w:rPr>
        <w:t>. London: Little, Brown.</w:t>
      </w:r>
      <w:r w:rsidRPr="00B124C0">
        <w:rPr>
          <w:rFonts w:asciiTheme="majorHAnsi" w:hAnsiTheme="majorHAnsi" w:cstheme="majorHAnsi"/>
        </w:rPr>
        <w:br/>
      </w:r>
      <w:r w:rsidRPr="00B124C0">
        <w:rPr>
          <w:rFonts w:asciiTheme="majorHAnsi" w:hAnsiTheme="majorHAnsi" w:cstheme="majorHAnsi"/>
          <w:b/>
          <w:bCs/>
        </w:rPr>
        <w:t>Hutchins-</w:t>
      </w:r>
      <w:proofErr w:type="spellStart"/>
      <w:r w:rsidRPr="00B124C0">
        <w:rPr>
          <w:rFonts w:asciiTheme="majorHAnsi" w:hAnsiTheme="majorHAnsi" w:cstheme="majorHAnsi"/>
          <w:b/>
          <w:bCs/>
        </w:rPr>
        <w:t>Viroux</w:t>
      </w:r>
      <w:proofErr w:type="spellEnd"/>
      <w:r w:rsidRPr="00B124C0">
        <w:rPr>
          <w:rFonts w:asciiTheme="majorHAnsi" w:hAnsiTheme="majorHAnsi" w:cstheme="majorHAnsi"/>
          <w:b/>
          <w:bCs/>
        </w:rPr>
        <w:t>, Rachel.</w:t>
      </w:r>
      <w:r w:rsidRPr="00B124C0">
        <w:rPr>
          <w:rFonts w:asciiTheme="majorHAnsi" w:hAnsiTheme="majorHAnsi" w:cstheme="majorHAnsi"/>
        </w:rPr>
        <w:t xml:space="preserve"> (2008). "Witch-hunts, Theocracies and Hypocrisy", </w:t>
      </w:r>
      <w:r w:rsidRPr="00B124C0">
        <w:rPr>
          <w:rFonts w:asciiTheme="majorHAnsi" w:hAnsiTheme="majorHAnsi" w:cstheme="majorHAnsi"/>
          <w:i/>
          <w:iCs/>
        </w:rPr>
        <w:t>Revue LISA/LISA e-journal</w:t>
      </w:r>
      <w:r w:rsidRPr="00B124C0">
        <w:rPr>
          <w:rFonts w:asciiTheme="majorHAnsi" w:hAnsiTheme="majorHAnsi" w:cstheme="majorHAnsi"/>
        </w:rPr>
        <w:t xml:space="preserve">, </w:t>
      </w:r>
      <w:proofErr w:type="gramStart"/>
      <w:r w:rsidRPr="00B124C0">
        <w:rPr>
          <w:rFonts w:asciiTheme="majorHAnsi" w:hAnsiTheme="majorHAnsi" w:cstheme="majorHAnsi"/>
        </w:rPr>
        <w:t>VI(</w:t>
      </w:r>
      <w:proofErr w:type="gramEnd"/>
      <w:r w:rsidRPr="00B124C0">
        <w:rPr>
          <w:rFonts w:asciiTheme="majorHAnsi" w:hAnsiTheme="majorHAnsi" w:cstheme="majorHAnsi"/>
        </w:rPr>
        <w:t xml:space="preserve">2), pp. 140–148. </w:t>
      </w:r>
      <w:hyperlink r:id="rId15" w:tgtFrame="_new" w:history="1">
        <w:r w:rsidRPr="00B124C0">
          <w:rPr>
            <w:rStyle w:val="Hyperlink"/>
            <w:rFonts w:asciiTheme="majorHAnsi" w:hAnsiTheme="majorHAnsi" w:cstheme="majorHAnsi"/>
          </w:rPr>
          <w:t>https://doi.org/10.4000/lisa.1140</w:t>
        </w:r>
      </w:hyperlink>
      <w:r w:rsidRPr="00B124C0">
        <w:rPr>
          <w:rFonts w:asciiTheme="majorHAnsi" w:hAnsiTheme="majorHAnsi" w:cstheme="majorHAnsi"/>
        </w:rPr>
        <w:br/>
      </w:r>
      <w:r w:rsidRPr="00B124C0">
        <w:rPr>
          <w:rFonts w:asciiTheme="majorHAnsi" w:hAnsiTheme="majorHAnsi" w:cstheme="majorHAnsi"/>
          <w:b/>
          <w:bCs/>
        </w:rPr>
        <w:t>Isaacs, Y.</w:t>
      </w:r>
      <w:r w:rsidRPr="00B124C0">
        <w:rPr>
          <w:rFonts w:asciiTheme="majorHAnsi" w:hAnsiTheme="majorHAnsi" w:cstheme="majorHAnsi"/>
        </w:rPr>
        <w:t xml:space="preserve"> (2019) ‘The problems of transformative experience’, </w:t>
      </w:r>
      <w:r w:rsidRPr="00B124C0">
        <w:rPr>
          <w:rFonts w:asciiTheme="majorHAnsi" w:hAnsiTheme="majorHAnsi" w:cstheme="majorHAnsi"/>
          <w:i/>
          <w:iCs/>
        </w:rPr>
        <w:t>Philosophical Studies</w:t>
      </w:r>
      <w:r w:rsidRPr="00B124C0">
        <w:rPr>
          <w:rFonts w:asciiTheme="majorHAnsi" w:hAnsiTheme="majorHAnsi" w:cstheme="majorHAnsi"/>
        </w:rPr>
        <w:t xml:space="preserve">. </w:t>
      </w:r>
      <w:hyperlink r:id="rId16" w:tgtFrame="_new" w:history="1">
        <w:r w:rsidRPr="00B124C0">
          <w:rPr>
            <w:rStyle w:val="Hyperlink"/>
            <w:rFonts w:asciiTheme="majorHAnsi" w:hAnsiTheme="majorHAnsi" w:cstheme="majorHAnsi"/>
          </w:rPr>
          <w:t>https://doi.org/10.1007/s11098-018-01235-3</w:t>
        </w:r>
      </w:hyperlink>
      <w:r w:rsidRPr="00B124C0">
        <w:rPr>
          <w:rFonts w:asciiTheme="majorHAnsi" w:hAnsiTheme="majorHAnsi" w:cstheme="majorHAnsi"/>
        </w:rPr>
        <w:br/>
      </w:r>
      <w:r w:rsidRPr="00B124C0">
        <w:rPr>
          <w:rFonts w:asciiTheme="majorHAnsi" w:hAnsiTheme="majorHAnsi" w:cstheme="majorHAnsi"/>
          <w:b/>
          <w:bCs/>
        </w:rPr>
        <w:t>Jung, C.G.</w:t>
      </w:r>
      <w:r w:rsidRPr="00B124C0">
        <w:rPr>
          <w:rFonts w:asciiTheme="majorHAnsi" w:hAnsiTheme="majorHAnsi" w:cstheme="majorHAnsi"/>
        </w:rPr>
        <w:t xml:space="preserve"> (1951) ‘Phenomenology of the self’, in </w:t>
      </w:r>
      <w:r w:rsidRPr="00B124C0">
        <w:rPr>
          <w:rFonts w:asciiTheme="majorHAnsi" w:hAnsiTheme="majorHAnsi" w:cstheme="majorHAnsi"/>
          <w:i/>
          <w:iCs/>
        </w:rPr>
        <w:t>The Portable Jung</w:t>
      </w:r>
      <w:r w:rsidRPr="00B124C0">
        <w:rPr>
          <w:rFonts w:asciiTheme="majorHAnsi" w:hAnsiTheme="majorHAnsi" w:cstheme="majorHAnsi"/>
        </w:rPr>
        <w:t>. London: Penguin Classics, 1976, p. 704.</w:t>
      </w:r>
      <w:r w:rsidRPr="00B124C0">
        <w:rPr>
          <w:rFonts w:asciiTheme="majorHAnsi" w:hAnsiTheme="majorHAnsi" w:cstheme="majorHAnsi"/>
        </w:rPr>
        <w:br/>
      </w:r>
      <w:r w:rsidRPr="00B124C0">
        <w:rPr>
          <w:rFonts w:asciiTheme="majorHAnsi" w:hAnsiTheme="majorHAnsi" w:cstheme="majorHAnsi"/>
          <w:b/>
          <w:bCs/>
        </w:rPr>
        <w:t>Kang, D., &amp; Evans, J.</w:t>
      </w:r>
      <w:r w:rsidRPr="00B124C0">
        <w:rPr>
          <w:rFonts w:asciiTheme="majorHAnsi" w:hAnsiTheme="majorHAnsi" w:cstheme="majorHAnsi"/>
        </w:rPr>
        <w:t xml:space="preserve"> (2020). Against method. </w:t>
      </w:r>
      <w:r w:rsidRPr="00B124C0">
        <w:rPr>
          <w:rFonts w:asciiTheme="majorHAnsi" w:hAnsiTheme="majorHAnsi" w:cstheme="majorHAnsi"/>
          <w:i/>
          <w:iCs/>
        </w:rPr>
        <w:t>Quantitative Science Studies</w:t>
      </w:r>
      <w:r w:rsidRPr="00B124C0">
        <w:rPr>
          <w:rFonts w:asciiTheme="majorHAnsi" w:hAnsiTheme="majorHAnsi" w:cstheme="majorHAnsi"/>
        </w:rPr>
        <w:t xml:space="preserve">, 1(3), 930–944. </w:t>
      </w:r>
      <w:hyperlink r:id="rId17" w:tgtFrame="_new" w:history="1">
        <w:r w:rsidRPr="00B124C0">
          <w:rPr>
            <w:rStyle w:val="Hyperlink"/>
            <w:rFonts w:asciiTheme="majorHAnsi" w:hAnsiTheme="majorHAnsi" w:cstheme="majorHAnsi"/>
          </w:rPr>
          <w:t>https://doi.org/10.1162/qss_a_00056</w:t>
        </w:r>
      </w:hyperlink>
      <w:r w:rsidRPr="00B124C0">
        <w:rPr>
          <w:rFonts w:asciiTheme="majorHAnsi" w:hAnsiTheme="majorHAnsi" w:cstheme="majorHAnsi"/>
        </w:rPr>
        <w:br/>
      </w:r>
      <w:r w:rsidRPr="00B124C0">
        <w:rPr>
          <w:rFonts w:asciiTheme="majorHAnsi" w:hAnsiTheme="majorHAnsi" w:cstheme="majorHAnsi"/>
          <w:b/>
          <w:bCs/>
        </w:rPr>
        <w:t>Kierkegaard, S.</w:t>
      </w:r>
      <w:r w:rsidRPr="00B124C0">
        <w:rPr>
          <w:rFonts w:asciiTheme="majorHAnsi" w:hAnsiTheme="majorHAnsi" w:cstheme="majorHAnsi"/>
        </w:rPr>
        <w:t xml:space="preserve"> (1989) </w:t>
      </w:r>
      <w:r w:rsidRPr="00B124C0">
        <w:rPr>
          <w:rFonts w:asciiTheme="majorHAnsi" w:hAnsiTheme="majorHAnsi" w:cstheme="majorHAnsi"/>
          <w:i/>
          <w:iCs/>
        </w:rPr>
        <w:t>The sickness unto death</w:t>
      </w:r>
      <w:r w:rsidRPr="00B124C0">
        <w:rPr>
          <w:rFonts w:asciiTheme="majorHAnsi" w:hAnsiTheme="majorHAnsi" w:cstheme="majorHAnsi"/>
        </w:rPr>
        <w:t xml:space="preserve"> (1849). Trans. A. Hannay. London: Penguin Classics.</w:t>
      </w:r>
      <w:r w:rsidRPr="00B124C0">
        <w:rPr>
          <w:rFonts w:asciiTheme="majorHAnsi" w:hAnsiTheme="majorHAnsi" w:cstheme="majorHAnsi"/>
        </w:rPr>
        <w:br/>
      </w:r>
      <w:r w:rsidRPr="00B124C0">
        <w:rPr>
          <w:rFonts w:asciiTheme="majorHAnsi" w:hAnsiTheme="majorHAnsi" w:cstheme="majorHAnsi"/>
          <w:b/>
          <w:bCs/>
        </w:rPr>
        <w:t>Lamont, M.</w:t>
      </w:r>
      <w:r w:rsidRPr="00B124C0">
        <w:rPr>
          <w:rFonts w:asciiTheme="majorHAnsi" w:hAnsiTheme="majorHAnsi" w:cstheme="majorHAnsi"/>
        </w:rPr>
        <w:t xml:space="preserve"> (2009). </w:t>
      </w:r>
      <w:r w:rsidRPr="00B124C0">
        <w:rPr>
          <w:rFonts w:asciiTheme="majorHAnsi" w:hAnsiTheme="majorHAnsi" w:cstheme="majorHAnsi"/>
          <w:i/>
          <w:iCs/>
        </w:rPr>
        <w:t>How Professors Think</w:t>
      </w:r>
      <w:r w:rsidRPr="00B124C0">
        <w:rPr>
          <w:rFonts w:asciiTheme="majorHAnsi" w:hAnsiTheme="majorHAnsi" w:cstheme="majorHAnsi"/>
        </w:rPr>
        <w:t xml:space="preserve">. Harvard University Press. </w:t>
      </w:r>
      <w:hyperlink r:id="rId18" w:tgtFrame="_new" w:history="1">
        <w:r w:rsidRPr="00B124C0">
          <w:rPr>
            <w:rStyle w:val="Hyperlink"/>
            <w:rFonts w:asciiTheme="majorHAnsi" w:hAnsiTheme="majorHAnsi" w:cstheme="majorHAnsi"/>
          </w:rPr>
          <w:t>https://doi.org/10.4159/9780674054158</w:t>
        </w:r>
      </w:hyperlink>
      <w:r w:rsidRPr="00B124C0">
        <w:rPr>
          <w:rFonts w:asciiTheme="majorHAnsi" w:hAnsiTheme="majorHAnsi" w:cstheme="majorHAnsi"/>
        </w:rPr>
        <w:br/>
      </w:r>
      <w:r w:rsidRPr="00B124C0">
        <w:rPr>
          <w:rFonts w:asciiTheme="majorHAnsi" w:hAnsiTheme="majorHAnsi" w:cstheme="majorHAnsi"/>
          <w:b/>
          <w:bCs/>
        </w:rPr>
        <w:t xml:space="preserve">Layman, G. C., &amp; </w:t>
      </w:r>
      <w:proofErr w:type="spellStart"/>
      <w:r w:rsidRPr="00B124C0">
        <w:rPr>
          <w:rFonts w:asciiTheme="majorHAnsi" w:hAnsiTheme="majorHAnsi" w:cstheme="majorHAnsi"/>
          <w:b/>
          <w:bCs/>
        </w:rPr>
        <w:t>Carsey</w:t>
      </w:r>
      <w:proofErr w:type="spellEnd"/>
      <w:r w:rsidRPr="00B124C0">
        <w:rPr>
          <w:rFonts w:asciiTheme="majorHAnsi" w:hAnsiTheme="majorHAnsi" w:cstheme="majorHAnsi"/>
          <w:b/>
          <w:bCs/>
        </w:rPr>
        <w:t>, T. M.</w:t>
      </w:r>
      <w:r w:rsidRPr="00B124C0">
        <w:rPr>
          <w:rFonts w:asciiTheme="majorHAnsi" w:hAnsiTheme="majorHAnsi" w:cstheme="majorHAnsi"/>
        </w:rPr>
        <w:t xml:space="preserve"> (1998). Why Do Party Activists Convert? </w:t>
      </w:r>
      <w:r w:rsidRPr="00B124C0">
        <w:rPr>
          <w:rFonts w:asciiTheme="majorHAnsi" w:hAnsiTheme="majorHAnsi" w:cstheme="majorHAnsi"/>
          <w:i/>
          <w:iCs/>
        </w:rPr>
        <w:t>Political Research Quarterly</w:t>
      </w:r>
      <w:r w:rsidRPr="00B124C0">
        <w:rPr>
          <w:rFonts w:asciiTheme="majorHAnsi" w:hAnsiTheme="majorHAnsi" w:cstheme="majorHAnsi"/>
        </w:rPr>
        <w:t xml:space="preserve">, 51(3), 723-749. </w:t>
      </w:r>
      <w:hyperlink r:id="rId19" w:tgtFrame="_new" w:history="1">
        <w:r w:rsidRPr="00B124C0">
          <w:rPr>
            <w:rStyle w:val="Hyperlink"/>
            <w:rFonts w:asciiTheme="majorHAnsi" w:hAnsiTheme="majorHAnsi" w:cstheme="majorHAnsi"/>
          </w:rPr>
          <w:t>https://doi.org/10.1177/106591299805100308</w:t>
        </w:r>
      </w:hyperlink>
      <w:r w:rsidRPr="00B124C0">
        <w:rPr>
          <w:rFonts w:asciiTheme="majorHAnsi" w:hAnsiTheme="majorHAnsi" w:cstheme="majorHAnsi"/>
        </w:rPr>
        <w:br/>
      </w:r>
      <w:r w:rsidRPr="00B124C0">
        <w:rPr>
          <w:rFonts w:asciiTheme="majorHAnsi" w:hAnsiTheme="majorHAnsi" w:cstheme="majorHAnsi"/>
          <w:b/>
          <w:bCs/>
        </w:rPr>
        <w:t xml:space="preserve">Linden, A., &amp; </w:t>
      </w:r>
      <w:proofErr w:type="spellStart"/>
      <w:r w:rsidRPr="00B124C0">
        <w:rPr>
          <w:rFonts w:asciiTheme="majorHAnsi" w:hAnsiTheme="majorHAnsi" w:cstheme="majorHAnsi"/>
          <w:b/>
          <w:bCs/>
        </w:rPr>
        <w:t>Klandermans</w:t>
      </w:r>
      <w:proofErr w:type="spellEnd"/>
      <w:r w:rsidRPr="00B124C0">
        <w:rPr>
          <w:rFonts w:asciiTheme="majorHAnsi" w:hAnsiTheme="majorHAnsi" w:cstheme="majorHAnsi"/>
          <w:b/>
          <w:bCs/>
        </w:rPr>
        <w:t>, B.</w:t>
      </w:r>
      <w:r w:rsidRPr="00B124C0">
        <w:rPr>
          <w:rFonts w:asciiTheme="majorHAnsi" w:hAnsiTheme="majorHAnsi" w:cstheme="majorHAnsi"/>
        </w:rPr>
        <w:t xml:space="preserve"> (2007). </w:t>
      </w:r>
      <w:r w:rsidRPr="00B124C0">
        <w:rPr>
          <w:rFonts w:asciiTheme="majorHAnsi" w:hAnsiTheme="majorHAnsi" w:cstheme="majorHAnsi"/>
          <w:i/>
          <w:iCs/>
        </w:rPr>
        <w:t xml:space="preserve">Revolutionaries, Wanderers, Converts, and </w:t>
      </w:r>
      <w:proofErr w:type="spellStart"/>
      <w:r w:rsidRPr="00B124C0">
        <w:rPr>
          <w:rFonts w:asciiTheme="majorHAnsi" w:hAnsiTheme="majorHAnsi" w:cstheme="majorHAnsi"/>
          <w:i/>
          <w:iCs/>
        </w:rPr>
        <w:t>Compliants</w:t>
      </w:r>
      <w:proofErr w:type="spellEnd"/>
      <w:r w:rsidRPr="00B124C0">
        <w:rPr>
          <w:rFonts w:asciiTheme="majorHAnsi" w:hAnsiTheme="majorHAnsi" w:cstheme="majorHAnsi"/>
        </w:rPr>
        <w:t xml:space="preserve">. </w:t>
      </w:r>
      <w:r w:rsidRPr="00B124C0">
        <w:rPr>
          <w:rFonts w:asciiTheme="majorHAnsi" w:hAnsiTheme="majorHAnsi" w:cstheme="majorHAnsi"/>
          <w:i/>
          <w:iCs/>
        </w:rPr>
        <w:t>Journal of Contemporary Ethnography</w:t>
      </w:r>
      <w:r w:rsidRPr="00B124C0">
        <w:rPr>
          <w:rFonts w:asciiTheme="majorHAnsi" w:hAnsiTheme="majorHAnsi" w:cstheme="majorHAnsi"/>
        </w:rPr>
        <w:t xml:space="preserve">, 36(2), 184-201. </w:t>
      </w:r>
      <w:hyperlink r:id="rId20" w:tgtFrame="_new" w:history="1">
        <w:r w:rsidRPr="00B124C0">
          <w:rPr>
            <w:rStyle w:val="Hyperlink"/>
            <w:rFonts w:asciiTheme="majorHAnsi" w:hAnsiTheme="majorHAnsi" w:cstheme="majorHAnsi"/>
          </w:rPr>
          <w:t>https://doi.org/10.1177/0891241606298824</w:t>
        </w:r>
      </w:hyperlink>
      <w:r w:rsidRPr="00B124C0">
        <w:rPr>
          <w:rFonts w:asciiTheme="majorHAnsi" w:hAnsiTheme="majorHAnsi" w:cstheme="majorHAnsi"/>
        </w:rPr>
        <w:br/>
      </w:r>
      <w:r w:rsidRPr="00B124C0">
        <w:rPr>
          <w:rFonts w:asciiTheme="majorHAnsi" w:hAnsiTheme="majorHAnsi" w:cstheme="majorHAnsi"/>
          <w:b/>
          <w:bCs/>
        </w:rPr>
        <w:t>Locke, J.</w:t>
      </w:r>
      <w:r w:rsidRPr="00B124C0">
        <w:rPr>
          <w:rFonts w:asciiTheme="majorHAnsi" w:hAnsiTheme="majorHAnsi" w:cstheme="majorHAnsi"/>
        </w:rPr>
        <w:t xml:space="preserve"> (1689) </w:t>
      </w:r>
      <w:r w:rsidRPr="00B124C0">
        <w:rPr>
          <w:rFonts w:asciiTheme="majorHAnsi" w:hAnsiTheme="majorHAnsi" w:cstheme="majorHAnsi"/>
          <w:i/>
          <w:iCs/>
        </w:rPr>
        <w:t>An essay concerning human understanding</w:t>
      </w:r>
      <w:r w:rsidRPr="00B124C0">
        <w:rPr>
          <w:rFonts w:asciiTheme="majorHAnsi" w:hAnsiTheme="majorHAnsi" w:cstheme="majorHAnsi"/>
        </w:rPr>
        <w:t>, Book 2, Chapter 27.</w:t>
      </w:r>
      <w:r w:rsidRPr="00B124C0">
        <w:rPr>
          <w:rFonts w:asciiTheme="majorHAnsi" w:hAnsiTheme="majorHAnsi" w:cstheme="majorHAnsi"/>
        </w:rPr>
        <w:br/>
      </w:r>
      <w:r w:rsidRPr="00B124C0">
        <w:rPr>
          <w:rFonts w:asciiTheme="majorHAnsi" w:hAnsiTheme="majorHAnsi" w:cstheme="majorHAnsi"/>
          <w:b/>
          <w:bCs/>
        </w:rPr>
        <w:t>Mac Laughlin, A. J.</w:t>
      </w:r>
      <w:r w:rsidRPr="00B124C0">
        <w:rPr>
          <w:rFonts w:asciiTheme="majorHAnsi" w:hAnsiTheme="majorHAnsi" w:cstheme="majorHAnsi"/>
        </w:rPr>
        <w:t xml:space="preserve"> (2008). </w:t>
      </w:r>
      <w:r w:rsidRPr="00B124C0">
        <w:rPr>
          <w:rFonts w:asciiTheme="majorHAnsi" w:hAnsiTheme="majorHAnsi" w:cstheme="majorHAnsi"/>
          <w:i/>
          <w:iCs/>
        </w:rPr>
        <w:t>Narratives of hope</w:t>
      </w:r>
      <w:r w:rsidRPr="00B124C0">
        <w:rPr>
          <w:rFonts w:asciiTheme="majorHAnsi" w:hAnsiTheme="majorHAnsi" w:cstheme="majorHAnsi"/>
        </w:rPr>
        <w:t xml:space="preserve"> (Doctoral dissertation, Loyola University Chicago).</w:t>
      </w:r>
      <w:r w:rsidRPr="00B124C0">
        <w:rPr>
          <w:rFonts w:asciiTheme="majorHAnsi" w:hAnsiTheme="majorHAnsi" w:cstheme="majorHAnsi"/>
        </w:rPr>
        <w:br/>
      </w:r>
      <w:r w:rsidRPr="00B124C0">
        <w:rPr>
          <w:rFonts w:asciiTheme="majorHAnsi" w:hAnsiTheme="majorHAnsi" w:cstheme="majorHAnsi"/>
          <w:b/>
          <w:bCs/>
        </w:rPr>
        <w:t>Mao, Z.</w:t>
      </w:r>
      <w:r w:rsidRPr="00B124C0">
        <w:rPr>
          <w:rFonts w:asciiTheme="majorHAnsi" w:hAnsiTheme="majorHAnsi" w:cstheme="majorHAnsi"/>
        </w:rPr>
        <w:t xml:space="preserve"> (1940) </w:t>
      </w:r>
      <w:r w:rsidRPr="00B124C0">
        <w:rPr>
          <w:rFonts w:asciiTheme="majorHAnsi" w:hAnsiTheme="majorHAnsi" w:cstheme="majorHAnsi"/>
          <w:i/>
          <w:iCs/>
        </w:rPr>
        <w:t>On new democracy</w:t>
      </w:r>
      <w:r w:rsidRPr="00B124C0">
        <w:rPr>
          <w:rFonts w:asciiTheme="majorHAnsi" w:hAnsiTheme="majorHAnsi" w:cstheme="majorHAnsi"/>
        </w:rPr>
        <w:t>. Beijing: Foreign Languages Press.</w:t>
      </w:r>
      <w:r w:rsidRPr="00B124C0">
        <w:rPr>
          <w:rFonts w:asciiTheme="majorHAnsi" w:hAnsiTheme="majorHAnsi" w:cstheme="majorHAnsi"/>
        </w:rPr>
        <w:br/>
      </w:r>
      <w:r w:rsidRPr="00B124C0">
        <w:rPr>
          <w:rFonts w:asciiTheme="majorHAnsi" w:hAnsiTheme="majorHAnsi" w:cstheme="majorHAnsi"/>
          <w:b/>
          <w:bCs/>
        </w:rPr>
        <w:lastRenderedPageBreak/>
        <w:t>Mao, Z.</w:t>
      </w:r>
      <w:r w:rsidRPr="00B124C0">
        <w:rPr>
          <w:rFonts w:asciiTheme="majorHAnsi" w:hAnsiTheme="majorHAnsi" w:cstheme="majorHAnsi"/>
        </w:rPr>
        <w:t xml:space="preserve"> (1966) </w:t>
      </w:r>
      <w:r w:rsidRPr="00B124C0">
        <w:rPr>
          <w:rFonts w:asciiTheme="majorHAnsi" w:hAnsiTheme="majorHAnsi" w:cstheme="majorHAnsi"/>
          <w:i/>
          <w:iCs/>
        </w:rPr>
        <w:t xml:space="preserve">Quotations from Chairman Mao </w:t>
      </w:r>
      <w:proofErr w:type="spellStart"/>
      <w:r w:rsidRPr="00B124C0">
        <w:rPr>
          <w:rFonts w:asciiTheme="majorHAnsi" w:hAnsiTheme="majorHAnsi" w:cstheme="majorHAnsi"/>
          <w:i/>
          <w:iCs/>
        </w:rPr>
        <w:t>Tse</w:t>
      </w:r>
      <w:proofErr w:type="spellEnd"/>
      <w:r w:rsidRPr="00B124C0">
        <w:rPr>
          <w:rFonts w:asciiTheme="majorHAnsi" w:hAnsiTheme="majorHAnsi" w:cstheme="majorHAnsi"/>
          <w:i/>
          <w:iCs/>
        </w:rPr>
        <w:t>-tung</w:t>
      </w:r>
      <w:r w:rsidRPr="00B124C0">
        <w:rPr>
          <w:rFonts w:asciiTheme="majorHAnsi" w:hAnsiTheme="majorHAnsi" w:cstheme="majorHAnsi"/>
        </w:rPr>
        <w:t>. Beijing: Foreign Languages Press.</w:t>
      </w:r>
      <w:r w:rsidRPr="00B124C0">
        <w:rPr>
          <w:rFonts w:asciiTheme="majorHAnsi" w:hAnsiTheme="majorHAnsi" w:cstheme="majorHAnsi"/>
        </w:rPr>
        <w:br/>
      </w:r>
      <w:r w:rsidRPr="00B124C0">
        <w:rPr>
          <w:rFonts w:asciiTheme="majorHAnsi" w:hAnsiTheme="majorHAnsi" w:cstheme="majorHAnsi"/>
          <w:b/>
          <w:bCs/>
        </w:rPr>
        <w:t>Marx, K.</w:t>
      </w:r>
      <w:r w:rsidRPr="00B124C0">
        <w:rPr>
          <w:rFonts w:asciiTheme="majorHAnsi" w:hAnsiTheme="majorHAnsi" w:cstheme="majorHAnsi"/>
        </w:rPr>
        <w:t xml:space="preserve"> (1867) </w:t>
      </w:r>
      <w:r w:rsidRPr="00B124C0">
        <w:rPr>
          <w:rFonts w:asciiTheme="majorHAnsi" w:hAnsiTheme="majorHAnsi" w:cstheme="majorHAnsi"/>
          <w:i/>
          <w:iCs/>
        </w:rPr>
        <w:t>Capital</w:t>
      </w:r>
      <w:r w:rsidRPr="00B124C0">
        <w:rPr>
          <w:rFonts w:asciiTheme="majorHAnsi" w:hAnsiTheme="majorHAnsi" w:cstheme="majorHAnsi"/>
        </w:rPr>
        <w:t xml:space="preserve"> (Vol. 1). Hamburg: Otto Meissner Verlag.</w:t>
      </w:r>
      <w:r w:rsidRPr="00B124C0">
        <w:rPr>
          <w:rFonts w:asciiTheme="majorHAnsi" w:hAnsiTheme="majorHAnsi" w:cstheme="majorHAnsi"/>
        </w:rPr>
        <w:br/>
      </w:r>
      <w:r w:rsidRPr="00B124C0">
        <w:rPr>
          <w:rFonts w:asciiTheme="majorHAnsi" w:hAnsiTheme="majorHAnsi" w:cstheme="majorHAnsi"/>
          <w:b/>
          <w:bCs/>
        </w:rPr>
        <w:t>Marx, K. and Engels, F.</w:t>
      </w:r>
      <w:r w:rsidRPr="00B124C0">
        <w:rPr>
          <w:rFonts w:asciiTheme="majorHAnsi" w:hAnsiTheme="majorHAnsi" w:cstheme="majorHAnsi"/>
        </w:rPr>
        <w:t xml:space="preserve"> (1965) </w:t>
      </w:r>
      <w:r w:rsidRPr="00B124C0">
        <w:rPr>
          <w:rFonts w:asciiTheme="majorHAnsi" w:hAnsiTheme="majorHAnsi" w:cstheme="majorHAnsi"/>
          <w:i/>
          <w:iCs/>
        </w:rPr>
        <w:t>The German ideology</w:t>
      </w:r>
      <w:r w:rsidRPr="00B124C0">
        <w:rPr>
          <w:rFonts w:asciiTheme="majorHAnsi" w:hAnsiTheme="majorHAnsi" w:cstheme="majorHAnsi"/>
        </w:rPr>
        <w:t xml:space="preserve"> (1845). London.</w:t>
      </w:r>
      <w:r w:rsidRPr="00B124C0">
        <w:rPr>
          <w:rFonts w:asciiTheme="majorHAnsi" w:hAnsiTheme="majorHAnsi" w:cstheme="majorHAnsi"/>
        </w:rPr>
        <w:br/>
      </w:r>
      <w:r w:rsidRPr="00B124C0">
        <w:rPr>
          <w:rFonts w:asciiTheme="majorHAnsi" w:hAnsiTheme="majorHAnsi" w:cstheme="majorHAnsi"/>
          <w:b/>
          <w:bCs/>
        </w:rPr>
        <w:t>Maslow, A.H.</w:t>
      </w:r>
      <w:r w:rsidRPr="00B124C0">
        <w:rPr>
          <w:rFonts w:asciiTheme="majorHAnsi" w:hAnsiTheme="majorHAnsi" w:cstheme="majorHAnsi"/>
        </w:rPr>
        <w:t xml:space="preserve"> (2013) </w:t>
      </w:r>
      <w:r w:rsidRPr="00B124C0">
        <w:rPr>
          <w:rFonts w:asciiTheme="majorHAnsi" w:hAnsiTheme="majorHAnsi" w:cstheme="majorHAnsi"/>
          <w:i/>
          <w:iCs/>
        </w:rPr>
        <w:t>Toward a psychology of being</w:t>
      </w:r>
      <w:r w:rsidRPr="00B124C0">
        <w:rPr>
          <w:rFonts w:asciiTheme="majorHAnsi" w:hAnsiTheme="majorHAnsi" w:cstheme="majorHAnsi"/>
        </w:rPr>
        <w:t>. New York: Simon and Schuster.</w:t>
      </w:r>
      <w:r w:rsidRPr="00B124C0">
        <w:rPr>
          <w:rFonts w:asciiTheme="majorHAnsi" w:hAnsiTheme="majorHAnsi" w:cstheme="majorHAnsi"/>
        </w:rPr>
        <w:br/>
      </w:r>
      <w:proofErr w:type="spellStart"/>
      <w:r w:rsidRPr="00B124C0">
        <w:rPr>
          <w:rFonts w:asciiTheme="majorHAnsi" w:hAnsiTheme="majorHAnsi" w:cstheme="majorHAnsi"/>
          <w:b/>
          <w:bCs/>
        </w:rPr>
        <w:t>Mavelli</w:t>
      </w:r>
      <w:proofErr w:type="spellEnd"/>
      <w:r w:rsidRPr="00B124C0">
        <w:rPr>
          <w:rFonts w:asciiTheme="majorHAnsi" w:hAnsiTheme="majorHAnsi" w:cstheme="majorHAnsi"/>
          <w:b/>
          <w:bCs/>
        </w:rPr>
        <w:t>, L.</w:t>
      </w:r>
      <w:r w:rsidRPr="00B124C0">
        <w:rPr>
          <w:rFonts w:asciiTheme="majorHAnsi" w:hAnsiTheme="majorHAnsi" w:cstheme="majorHAnsi"/>
        </w:rPr>
        <w:t xml:space="preserve"> (2019). </w:t>
      </w:r>
      <w:r w:rsidRPr="00B124C0">
        <w:rPr>
          <w:rFonts w:asciiTheme="majorHAnsi" w:hAnsiTheme="majorHAnsi" w:cstheme="majorHAnsi"/>
          <w:i/>
          <w:iCs/>
        </w:rPr>
        <w:t>Neoliberalism as Religion</w:t>
      </w:r>
      <w:r w:rsidRPr="00B124C0">
        <w:rPr>
          <w:rFonts w:asciiTheme="majorHAnsi" w:hAnsiTheme="majorHAnsi" w:cstheme="majorHAnsi"/>
        </w:rPr>
        <w:t xml:space="preserve">. </w:t>
      </w:r>
      <w:r w:rsidRPr="00B124C0">
        <w:rPr>
          <w:rFonts w:asciiTheme="majorHAnsi" w:hAnsiTheme="majorHAnsi" w:cstheme="majorHAnsi"/>
          <w:i/>
          <w:iCs/>
        </w:rPr>
        <w:t>International Political Sociology</w:t>
      </w:r>
      <w:r w:rsidRPr="00B124C0">
        <w:rPr>
          <w:rFonts w:asciiTheme="majorHAnsi" w:hAnsiTheme="majorHAnsi" w:cstheme="majorHAnsi"/>
        </w:rPr>
        <w:t xml:space="preserve">, 14(1), 57–76. </w:t>
      </w:r>
      <w:hyperlink r:id="rId21" w:tgtFrame="_new" w:history="1">
        <w:r w:rsidRPr="00B124C0">
          <w:rPr>
            <w:rStyle w:val="Hyperlink"/>
            <w:rFonts w:asciiTheme="majorHAnsi" w:hAnsiTheme="majorHAnsi" w:cstheme="majorHAnsi"/>
          </w:rPr>
          <w:t>https://doi.org/10.1093/ips/olz021</w:t>
        </w:r>
      </w:hyperlink>
      <w:r w:rsidRPr="00B124C0">
        <w:rPr>
          <w:rFonts w:asciiTheme="majorHAnsi" w:hAnsiTheme="majorHAnsi" w:cstheme="majorHAnsi"/>
        </w:rPr>
        <w:br/>
      </w:r>
      <w:r w:rsidRPr="00B124C0">
        <w:rPr>
          <w:rFonts w:asciiTheme="majorHAnsi" w:hAnsiTheme="majorHAnsi" w:cstheme="majorHAnsi"/>
          <w:b/>
          <w:bCs/>
        </w:rPr>
        <w:t>McKinnon, R.</w:t>
      </w:r>
      <w:r w:rsidRPr="00B124C0">
        <w:rPr>
          <w:rFonts w:asciiTheme="majorHAnsi" w:hAnsiTheme="majorHAnsi" w:cstheme="majorHAnsi"/>
        </w:rPr>
        <w:t xml:space="preserve"> (2015) ‘Trans*formative experiences’, </w:t>
      </w:r>
      <w:r w:rsidRPr="00B124C0">
        <w:rPr>
          <w:rFonts w:asciiTheme="majorHAnsi" w:hAnsiTheme="majorHAnsi" w:cstheme="majorHAnsi"/>
          <w:i/>
          <w:iCs/>
        </w:rPr>
        <w:t xml:space="preserve">Res </w:t>
      </w:r>
      <w:proofErr w:type="spellStart"/>
      <w:r w:rsidRPr="00B124C0">
        <w:rPr>
          <w:rFonts w:asciiTheme="majorHAnsi" w:hAnsiTheme="majorHAnsi" w:cstheme="majorHAnsi"/>
          <w:i/>
          <w:iCs/>
        </w:rPr>
        <w:t>Philosophica</w:t>
      </w:r>
      <w:proofErr w:type="spellEnd"/>
      <w:r w:rsidRPr="00B124C0">
        <w:rPr>
          <w:rFonts w:asciiTheme="majorHAnsi" w:hAnsiTheme="majorHAnsi" w:cstheme="majorHAnsi"/>
        </w:rPr>
        <w:t>, 92, pp. 419–40.</w:t>
      </w:r>
      <w:r w:rsidRPr="00B124C0">
        <w:rPr>
          <w:rFonts w:asciiTheme="majorHAnsi" w:hAnsiTheme="majorHAnsi" w:cstheme="majorHAnsi"/>
        </w:rPr>
        <w:br/>
      </w:r>
      <w:r w:rsidRPr="00B124C0">
        <w:rPr>
          <w:rFonts w:asciiTheme="majorHAnsi" w:hAnsiTheme="majorHAnsi" w:cstheme="majorHAnsi"/>
          <w:b/>
          <w:bCs/>
        </w:rPr>
        <w:t>Merton, T.</w:t>
      </w:r>
      <w:r w:rsidRPr="00B124C0">
        <w:rPr>
          <w:rFonts w:asciiTheme="majorHAnsi" w:hAnsiTheme="majorHAnsi" w:cstheme="majorHAnsi"/>
        </w:rPr>
        <w:t xml:space="preserve"> (1948) </w:t>
      </w:r>
      <w:r w:rsidRPr="00B124C0">
        <w:rPr>
          <w:rFonts w:asciiTheme="majorHAnsi" w:hAnsiTheme="majorHAnsi" w:cstheme="majorHAnsi"/>
          <w:i/>
          <w:iCs/>
        </w:rPr>
        <w:t xml:space="preserve">The Seven </w:t>
      </w:r>
      <w:proofErr w:type="spellStart"/>
      <w:r w:rsidRPr="00B124C0">
        <w:rPr>
          <w:rFonts w:asciiTheme="majorHAnsi" w:hAnsiTheme="majorHAnsi" w:cstheme="majorHAnsi"/>
          <w:i/>
          <w:iCs/>
        </w:rPr>
        <w:t>Storey</w:t>
      </w:r>
      <w:proofErr w:type="spellEnd"/>
      <w:r w:rsidRPr="00B124C0">
        <w:rPr>
          <w:rFonts w:asciiTheme="majorHAnsi" w:hAnsiTheme="majorHAnsi" w:cstheme="majorHAnsi"/>
          <w:i/>
          <w:iCs/>
        </w:rPr>
        <w:t xml:space="preserve"> Mountain</w:t>
      </w:r>
      <w:r w:rsidRPr="00B124C0">
        <w:rPr>
          <w:rFonts w:asciiTheme="majorHAnsi" w:hAnsiTheme="majorHAnsi" w:cstheme="majorHAnsi"/>
        </w:rPr>
        <w:t>. New York: Harcourt, Brace &amp; Co.</w:t>
      </w:r>
      <w:r w:rsidRPr="00B124C0">
        <w:rPr>
          <w:rFonts w:asciiTheme="majorHAnsi" w:hAnsiTheme="majorHAnsi" w:cstheme="majorHAnsi"/>
        </w:rPr>
        <w:br/>
      </w:r>
      <w:r w:rsidRPr="00B124C0">
        <w:rPr>
          <w:rFonts w:asciiTheme="majorHAnsi" w:hAnsiTheme="majorHAnsi" w:cstheme="majorHAnsi"/>
          <w:b/>
          <w:bCs/>
        </w:rPr>
        <w:t>Myers, K.A.</w:t>
      </w:r>
      <w:r w:rsidRPr="00B124C0">
        <w:rPr>
          <w:rFonts w:asciiTheme="majorHAnsi" w:hAnsiTheme="majorHAnsi" w:cstheme="majorHAnsi"/>
        </w:rPr>
        <w:t xml:space="preserve"> (2011) ‘Metanoia and the transformation of opportunity’, </w:t>
      </w:r>
      <w:r w:rsidRPr="00B124C0">
        <w:rPr>
          <w:rFonts w:asciiTheme="majorHAnsi" w:hAnsiTheme="majorHAnsi" w:cstheme="majorHAnsi"/>
          <w:i/>
          <w:iCs/>
        </w:rPr>
        <w:t>Rhetoric Society Quarterly</w:t>
      </w:r>
      <w:r w:rsidRPr="00B124C0">
        <w:rPr>
          <w:rFonts w:asciiTheme="majorHAnsi" w:hAnsiTheme="majorHAnsi" w:cstheme="majorHAnsi"/>
        </w:rPr>
        <w:t>, 41(1), pp. 1-18.</w:t>
      </w:r>
      <w:r w:rsidRPr="00B124C0">
        <w:rPr>
          <w:rFonts w:asciiTheme="majorHAnsi" w:hAnsiTheme="majorHAnsi" w:cstheme="majorHAnsi"/>
        </w:rPr>
        <w:br/>
      </w:r>
      <w:r w:rsidRPr="00B124C0">
        <w:rPr>
          <w:rFonts w:asciiTheme="majorHAnsi" w:hAnsiTheme="majorHAnsi" w:cstheme="majorHAnsi"/>
          <w:b/>
          <w:bCs/>
        </w:rPr>
        <w:t xml:space="preserve">Nouwen, </w:t>
      </w:r>
      <w:proofErr w:type="spellStart"/>
      <w:r w:rsidRPr="00B124C0">
        <w:rPr>
          <w:rFonts w:asciiTheme="majorHAnsi" w:hAnsiTheme="majorHAnsi" w:cstheme="majorHAnsi"/>
          <w:b/>
          <w:bCs/>
        </w:rPr>
        <w:t>H.J.M</w:t>
      </w:r>
      <w:proofErr w:type="spellEnd"/>
      <w:r w:rsidRPr="00B124C0">
        <w:rPr>
          <w:rFonts w:asciiTheme="majorHAnsi" w:hAnsiTheme="majorHAnsi" w:cstheme="majorHAnsi"/>
          <w:b/>
          <w:bCs/>
        </w:rPr>
        <w:t>.</w:t>
      </w:r>
      <w:r w:rsidRPr="00B124C0">
        <w:rPr>
          <w:rFonts w:asciiTheme="majorHAnsi" w:hAnsiTheme="majorHAnsi" w:cstheme="majorHAnsi"/>
        </w:rPr>
        <w:t xml:space="preserve"> (1992) </w:t>
      </w:r>
      <w:r w:rsidRPr="00B124C0">
        <w:rPr>
          <w:rFonts w:asciiTheme="majorHAnsi" w:hAnsiTheme="majorHAnsi" w:cstheme="majorHAnsi"/>
          <w:i/>
          <w:iCs/>
        </w:rPr>
        <w:t>The return of the prodigal son</w:t>
      </w:r>
      <w:r w:rsidRPr="00B124C0">
        <w:rPr>
          <w:rFonts w:asciiTheme="majorHAnsi" w:hAnsiTheme="majorHAnsi" w:cstheme="majorHAnsi"/>
        </w:rPr>
        <w:t xml:space="preserve">. London: </w:t>
      </w:r>
      <w:proofErr w:type="spellStart"/>
      <w:r w:rsidRPr="00B124C0">
        <w:rPr>
          <w:rFonts w:asciiTheme="majorHAnsi" w:hAnsiTheme="majorHAnsi" w:cstheme="majorHAnsi"/>
        </w:rPr>
        <w:t>Darton</w:t>
      </w:r>
      <w:proofErr w:type="spellEnd"/>
      <w:r w:rsidRPr="00B124C0">
        <w:rPr>
          <w:rFonts w:asciiTheme="majorHAnsi" w:hAnsiTheme="majorHAnsi" w:cstheme="majorHAnsi"/>
        </w:rPr>
        <w:t>, Longman &amp; Todd Ltd.</w:t>
      </w:r>
      <w:r w:rsidRPr="00B124C0">
        <w:rPr>
          <w:rFonts w:asciiTheme="majorHAnsi" w:hAnsiTheme="majorHAnsi" w:cstheme="majorHAnsi"/>
        </w:rPr>
        <w:br/>
      </w:r>
      <w:r w:rsidRPr="00B124C0">
        <w:rPr>
          <w:rFonts w:asciiTheme="majorHAnsi" w:hAnsiTheme="majorHAnsi" w:cstheme="majorHAnsi"/>
          <w:b/>
          <w:bCs/>
        </w:rPr>
        <w:t>Parfit, D.</w:t>
      </w:r>
      <w:r w:rsidRPr="00B124C0">
        <w:rPr>
          <w:rFonts w:asciiTheme="majorHAnsi" w:hAnsiTheme="majorHAnsi" w:cstheme="majorHAnsi"/>
        </w:rPr>
        <w:t xml:space="preserve"> (1984) </w:t>
      </w:r>
      <w:r w:rsidRPr="00B124C0">
        <w:rPr>
          <w:rFonts w:asciiTheme="majorHAnsi" w:hAnsiTheme="majorHAnsi" w:cstheme="majorHAnsi"/>
          <w:i/>
          <w:iCs/>
        </w:rPr>
        <w:t>Reasons and persons</w:t>
      </w:r>
      <w:r w:rsidRPr="00B124C0">
        <w:rPr>
          <w:rFonts w:asciiTheme="majorHAnsi" w:hAnsiTheme="majorHAnsi" w:cstheme="majorHAnsi"/>
        </w:rPr>
        <w:t>. Oxford: Oxford University Press.</w:t>
      </w:r>
      <w:r w:rsidRPr="00B124C0">
        <w:rPr>
          <w:rFonts w:asciiTheme="majorHAnsi" w:hAnsiTheme="majorHAnsi" w:cstheme="majorHAnsi"/>
        </w:rPr>
        <w:br/>
      </w:r>
      <w:r w:rsidRPr="00B124C0">
        <w:rPr>
          <w:rFonts w:asciiTheme="majorHAnsi" w:hAnsiTheme="majorHAnsi" w:cstheme="majorHAnsi"/>
          <w:b/>
          <w:bCs/>
        </w:rPr>
        <w:t>Paul, L.A.</w:t>
      </w:r>
      <w:r w:rsidRPr="00B124C0">
        <w:rPr>
          <w:rFonts w:asciiTheme="majorHAnsi" w:hAnsiTheme="majorHAnsi" w:cstheme="majorHAnsi"/>
        </w:rPr>
        <w:t xml:space="preserve"> (2015) </w:t>
      </w:r>
      <w:r w:rsidRPr="00B124C0">
        <w:rPr>
          <w:rFonts w:asciiTheme="majorHAnsi" w:hAnsiTheme="majorHAnsi" w:cstheme="majorHAnsi"/>
          <w:i/>
          <w:iCs/>
        </w:rPr>
        <w:t>Transformative experience</w:t>
      </w:r>
      <w:r w:rsidRPr="00B124C0">
        <w:rPr>
          <w:rFonts w:asciiTheme="majorHAnsi" w:hAnsiTheme="majorHAnsi" w:cstheme="majorHAnsi"/>
        </w:rPr>
        <w:t>. Oxford: Oxford University Press.</w:t>
      </w:r>
      <w:r w:rsidRPr="00B124C0">
        <w:rPr>
          <w:rFonts w:asciiTheme="majorHAnsi" w:hAnsiTheme="majorHAnsi" w:cstheme="majorHAnsi"/>
        </w:rPr>
        <w:br/>
      </w:r>
      <w:r w:rsidRPr="00B124C0">
        <w:rPr>
          <w:rFonts w:asciiTheme="majorHAnsi" w:hAnsiTheme="majorHAnsi" w:cstheme="majorHAnsi"/>
          <w:b/>
          <w:bCs/>
        </w:rPr>
        <w:t>Peters, D. A. P.</w:t>
      </w:r>
      <w:r w:rsidRPr="00B124C0">
        <w:rPr>
          <w:rFonts w:asciiTheme="majorHAnsi" w:hAnsiTheme="majorHAnsi" w:cstheme="majorHAnsi"/>
        </w:rPr>
        <w:t xml:space="preserve"> (1997). </w:t>
      </w:r>
      <w:r w:rsidRPr="00B124C0">
        <w:rPr>
          <w:rFonts w:asciiTheme="majorHAnsi" w:hAnsiTheme="majorHAnsi" w:cstheme="majorHAnsi"/>
          <w:i/>
          <w:iCs/>
        </w:rPr>
        <w:t>Born again? The ethics and efficacy of the conversion experience</w:t>
      </w:r>
      <w:r w:rsidRPr="00B124C0">
        <w:rPr>
          <w:rFonts w:asciiTheme="majorHAnsi" w:hAnsiTheme="majorHAnsi" w:cstheme="majorHAnsi"/>
        </w:rPr>
        <w:t xml:space="preserve">. </w:t>
      </w:r>
      <w:r w:rsidRPr="00B124C0">
        <w:rPr>
          <w:rFonts w:asciiTheme="majorHAnsi" w:hAnsiTheme="majorHAnsi" w:cstheme="majorHAnsi"/>
          <w:i/>
          <w:iCs/>
          <w:lang w:val="fr-FR"/>
        </w:rPr>
        <w:t xml:space="preserve">Journal of Management </w:t>
      </w:r>
      <w:proofErr w:type="spellStart"/>
      <w:r w:rsidRPr="00B124C0">
        <w:rPr>
          <w:rFonts w:asciiTheme="majorHAnsi" w:hAnsiTheme="majorHAnsi" w:cstheme="majorHAnsi"/>
          <w:i/>
          <w:iCs/>
          <w:lang w:val="fr-FR"/>
        </w:rPr>
        <w:t>Studies</w:t>
      </w:r>
      <w:proofErr w:type="spellEnd"/>
      <w:r w:rsidRPr="00B124C0">
        <w:rPr>
          <w:rFonts w:asciiTheme="majorHAnsi" w:hAnsiTheme="majorHAnsi" w:cstheme="majorHAnsi"/>
          <w:lang w:val="fr-FR"/>
        </w:rPr>
        <w:t xml:space="preserve">, 34(5), 677-701. </w:t>
      </w:r>
      <w:hyperlink r:id="rId22" w:tgtFrame="_new" w:history="1">
        <w:r w:rsidRPr="00B124C0">
          <w:rPr>
            <w:rStyle w:val="Hyperlink"/>
            <w:rFonts w:asciiTheme="majorHAnsi" w:hAnsiTheme="majorHAnsi" w:cstheme="majorHAnsi"/>
            <w:lang w:val="fr-FR"/>
          </w:rPr>
          <w:t>https://doi.org/10.1111/1467-6486.00068</w:t>
        </w:r>
      </w:hyperlink>
      <w:r w:rsidRPr="00B124C0">
        <w:rPr>
          <w:rFonts w:asciiTheme="majorHAnsi" w:hAnsiTheme="majorHAnsi" w:cstheme="majorHAnsi"/>
          <w:lang w:val="fr-FR"/>
        </w:rPr>
        <w:br/>
      </w:r>
      <w:r w:rsidRPr="00B124C0">
        <w:rPr>
          <w:rFonts w:asciiTheme="majorHAnsi" w:hAnsiTheme="majorHAnsi" w:cstheme="majorHAnsi"/>
          <w:b/>
          <w:bCs/>
          <w:lang w:val="fr-FR"/>
        </w:rPr>
        <w:t>Raynaud, A.</w:t>
      </w:r>
      <w:r w:rsidRPr="00B124C0">
        <w:rPr>
          <w:rFonts w:asciiTheme="majorHAnsi" w:hAnsiTheme="majorHAnsi" w:cstheme="majorHAnsi"/>
          <w:lang w:val="fr-FR"/>
        </w:rPr>
        <w:t xml:space="preserve"> (2017). </w:t>
      </w:r>
      <w:r w:rsidRPr="00B124C0">
        <w:rPr>
          <w:rFonts w:asciiTheme="majorHAnsi" w:hAnsiTheme="majorHAnsi" w:cstheme="majorHAnsi"/>
          <w:i/>
          <w:iCs/>
          <w:lang w:val="fr-FR"/>
        </w:rPr>
        <w:t>Engagement et conversion politique en conjoncture critique</w:t>
      </w:r>
      <w:r w:rsidRPr="00B124C0">
        <w:rPr>
          <w:rFonts w:asciiTheme="majorHAnsi" w:hAnsiTheme="majorHAnsi" w:cstheme="majorHAnsi"/>
          <w:lang w:val="fr-FR"/>
        </w:rPr>
        <w:t>. Thèse, Université de Lyon.</w:t>
      </w:r>
      <w:r w:rsidRPr="00B124C0">
        <w:rPr>
          <w:rFonts w:asciiTheme="majorHAnsi" w:hAnsiTheme="majorHAnsi" w:cstheme="majorHAnsi"/>
          <w:lang w:val="fr-FR"/>
        </w:rPr>
        <w:br/>
      </w:r>
      <w:r w:rsidRPr="00B124C0">
        <w:rPr>
          <w:rFonts w:asciiTheme="majorHAnsi" w:hAnsiTheme="majorHAnsi" w:cstheme="majorHAnsi"/>
          <w:b/>
          <w:bCs/>
          <w:lang w:val="fr-FR"/>
        </w:rPr>
        <w:t xml:space="preserve">Reuter, K. and </w:t>
      </w:r>
      <w:proofErr w:type="spellStart"/>
      <w:r w:rsidRPr="00B124C0">
        <w:rPr>
          <w:rFonts w:asciiTheme="majorHAnsi" w:hAnsiTheme="majorHAnsi" w:cstheme="majorHAnsi"/>
          <w:b/>
          <w:bCs/>
          <w:lang w:val="fr-FR"/>
        </w:rPr>
        <w:t>Messerli</w:t>
      </w:r>
      <w:proofErr w:type="spellEnd"/>
      <w:r w:rsidRPr="00B124C0">
        <w:rPr>
          <w:rFonts w:asciiTheme="majorHAnsi" w:hAnsiTheme="majorHAnsi" w:cstheme="majorHAnsi"/>
          <w:b/>
          <w:bCs/>
          <w:lang w:val="fr-FR"/>
        </w:rPr>
        <w:t>, M.</w:t>
      </w:r>
      <w:r w:rsidRPr="00B124C0">
        <w:rPr>
          <w:rFonts w:asciiTheme="majorHAnsi" w:hAnsiTheme="majorHAnsi" w:cstheme="majorHAnsi"/>
          <w:lang w:val="fr-FR"/>
        </w:rPr>
        <w:t xml:space="preserve"> (2018) ‘Transformative </w:t>
      </w:r>
      <w:proofErr w:type="spellStart"/>
      <w:r w:rsidRPr="00B124C0">
        <w:rPr>
          <w:rFonts w:asciiTheme="majorHAnsi" w:hAnsiTheme="majorHAnsi" w:cstheme="majorHAnsi"/>
          <w:lang w:val="fr-FR"/>
        </w:rPr>
        <w:t>decisions</w:t>
      </w:r>
      <w:proofErr w:type="spellEnd"/>
      <w:r w:rsidRPr="00B124C0">
        <w:rPr>
          <w:rFonts w:asciiTheme="majorHAnsi" w:hAnsiTheme="majorHAnsi" w:cstheme="majorHAnsi"/>
          <w:lang w:val="fr-FR"/>
        </w:rPr>
        <w:t xml:space="preserve">’, </w:t>
      </w:r>
      <w:r w:rsidRPr="00B124C0">
        <w:rPr>
          <w:rFonts w:asciiTheme="majorHAnsi" w:hAnsiTheme="majorHAnsi" w:cstheme="majorHAnsi"/>
          <w:i/>
          <w:iCs/>
          <w:lang w:val="fr-FR"/>
        </w:rPr>
        <w:t xml:space="preserve">Journal of </w:t>
      </w:r>
      <w:proofErr w:type="spellStart"/>
      <w:r w:rsidRPr="00B124C0">
        <w:rPr>
          <w:rFonts w:asciiTheme="majorHAnsi" w:hAnsiTheme="majorHAnsi" w:cstheme="majorHAnsi"/>
          <w:i/>
          <w:iCs/>
          <w:lang w:val="fr-FR"/>
        </w:rPr>
        <w:t>Philosophy</w:t>
      </w:r>
      <w:proofErr w:type="spellEnd"/>
      <w:r w:rsidRPr="00B124C0">
        <w:rPr>
          <w:rFonts w:asciiTheme="majorHAnsi" w:hAnsiTheme="majorHAnsi" w:cstheme="majorHAnsi"/>
          <w:lang w:val="fr-FR"/>
        </w:rPr>
        <w:t>, 115, pp. 313–35.</w:t>
      </w:r>
      <w:r w:rsidRPr="00B124C0">
        <w:rPr>
          <w:rFonts w:asciiTheme="majorHAnsi" w:hAnsiTheme="majorHAnsi" w:cstheme="majorHAnsi"/>
          <w:lang w:val="fr-FR"/>
        </w:rPr>
        <w:br/>
      </w:r>
      <w:r w:rsidRPr="00B124C0">
        <w:rPr>
          <w:rFonts w:asciiTheme="majorHAnsi" w:hAnsiTheme="majorHAnsi" w:cstheme="majorHAnsi"/>
          <w:b/>
          <w:bCs/>
        </w:rPr>
        <w:t>Rogers, C.R.</w:t>
      </w:r>
      <w:r w:rsidRPr="00B124C0">
        <w:rPr>
          <w:rFonts w:asciiTheme="majorHAnsi" w:hAnsiTheme="majorHAnsi" w:cstheme="majorHAnsi"/>
        </w:rPr>
        <w:t xml:space="preserve"> (1961) </w:t>
      </w:r>
      <w:r w:rsidRPr="00B124C0">
        <w:rPr>
          <w:rFonts w:asciiTheme="majorHAnsi" w:hAnsiTheme="majorHAnsi" w:cstheme="majorHAnsi"/>
          <w:i/>
          <w:iCs/>
        </w:rPr>
        <w:t xml:space="preserve">On becoming a </w:t>
      </w:r>
      <w:proofErr w:type="gramStart"/>
      <w:r w:rsidRPr="00B124C0">
        <w:rPr>
          <w:rFonts w:asciiTheme="majorHAnsi" w:hAnsiTheme="majorHAnsi" w:cstheme="majorHAnsi"/>
          <w:i/>
          <w:iCs/>
        </w:rPr>
        <w:t>person:</w:t>
      </w:r>
      <w:proofErr w:type="gramEnd"/>
      <w:r w:rsidRPr="00B124C0">
        <w:rPr>
          <w:rFonts w:asciiTheme="majorHAnsi" w:hAnsiTheme="majorHAnsi" w:cstheme="majorHAnsi"/>
          <w:i/>
          <w:iCs/>
        </w:rPr>
        <w:t xml:space="preserve"> A therapist’s view of psychotherapy</w:t>
      </w:r>
      <w:r w:rsidRPr="00B124C0">
        <w:rPr>
          <w:rFonts w:asciiTheme="majorHAnsi" w:hAnsiTheme="majorHAnsi" w:cstheme="majorHAnsi"/>
        </w:rPr>
        <w:t>.</w:t>
      </w:r>
      <w:r w:rsidRPr="00B124C0">
        <w:rPr>
          <w:rFonts w:asciiTheme="majorHAnsi" w:hAnsiTheme="majorHAnsi" w:cstheme="majorHAnsi"/>
        </w:rPr>
        <w:br/>
      </w:r>
      <w:r w:rsidRPr="00B124C0">
        <w:rPr>
          <w:rFonts w:asciiTheme="majorHAnsi" w:hAnsiTheme="majorHAnsi" w:cstheme="majorHAnsi"/>
          <w:b/>
          <w:bCs/>
        </w:rPr>
        <w:t>Rosenberg, A.</w:t>
      </w:r>
      <w:r w:rsidRPr="00B124C0">
        <w:rPr>
          <w:rFonts w:asciiTheme="majorHAnsi" w:hAnsiTheme="majorHAnsi" w:cstheme="majorHAnsi"/>
        </w:rPr>
        <w:t xml:space="preserve"> (1930) </w:t>
      </w:r>
      <w:r w:rsidRPr="00B124C0">
        <w:rPr>
          <w:rFonts w:asciiTheme="majorHAnsi" w:hAnsiTheme="majorHAnsi" w:cstheme="majorHAnsi"/>
          <w:i/>
          <w:iCs/>
        </w:rPr>
        <w:t>The myth of the twentieth century</w:t>
      </w:r>
      <w:r w:rsidRPr="00B124C0">
        <w:rPr>
          <w:rFonts w:asciiTheme="majorHAnsi" w:hAnsiTheme="majorHAnsi" w:cstheme="majorHAnsi"/>
        </w:rPr>
        <w:t>. Trans. R. Manheim. New York: Long Island University Press.</w:t>
      </w:r>
      <w:r w:rsidRPr="00B124C0">
        <w:rPr>
          <w:rFonts w:asciiTheme="majorHAnsi" w:hAnsiTheme="majorHAnsi" w:cstheme="majorHAnsi"/>
        </w:rPr>
        <w:br/>
      </w:r>
      <w:proofErr w:type="spellStart"/>
      <w:r w:rsidRPr="00B124C0">
        <w:rPr>
          <w:rFonts w:asciiTheme="majorHAnsi" w:hAnsiTheme="majorHAnsi" w:cstheme="majorHAnsi"/>
          <w:b/>
          <w:bCs/>
        </w:rPr>
        <w:t>Schauffler</w:t>
      </w:r>
      <w:proofErr w:type="spellEnd"/>
      <w:r w:rsidRPr="00B124C0">
        <w:rPr>
          <w:rFonts w:asciiTheme="majorHAnsi" w:hAnsiTheme="majorHAnsi" w:cstheme="majorHAnsi"/>
          <w:b/>
          <w:bCs/>
        </w:rPr>
        <w:t>, R.</w:t>
      </w:r>
      <w:r w:rsidRPr="00B124C0">
        <w:rPr>
          <w:rFonts w:asciiTheme="majorHAnsi" w:hAnsiTheme="majorHAnsi" w:cstheme="majorHAnsi"/>
        </w:rPr>
        <w:t xml:space="preserve"> (2003) </w:t>
      </w:r>
      <w:r w:rsidRPr="00B124C0">
        <w:rPr>
          <w:rFonts w:asciiTheme="majorHAnsi" w:hAnsiTheme="majorHAnsi" w:cstheme="majorHAnsi"/>
          <w:i/>
          <w:iCs/>
        </w:rPr>
        <w:t>Turning to Earth</w:t>
      </w:r>
      <w:r w:rsidRPr="00B124C0">
        <w:rPr>
          <w:rFonts w:asciiTheme="majorHAnsi" w:hAnsiTheme="majorHAnsi" w:cstheme="majorHAnsi"/>
        </w:rPr>
        <w:t>.</w:t>
      </w:r>
      <w:r w:rsidRPr="00B124C0">
        <w:rPr>
          <w:rFonts w:asciiTheme="majorHAnsi" w:hAnsiTheme="majorHAnsi" w:cstheme="majorHAnsi"/>
        </w:rPr>
        <w:br/>
      </w:r>
      <w:proofErr w:type="spellStart"/>
      <w:r w:rsidRPr="00B124C0">
        <w:rPr>
          <w:rFonts w:asciiTheme="majorHAnsi" w:hAnsiTheme="majorHAnsi" w:cstheme="majorHAnsi"/>
          <w:b/>
          <w:bCs/>
        </w:rPr>
        <w:t>Sijtsma</w:t>
      </w:r>
      <w:proofErr w:type="spellEnd"/>
      <w:r w:rsidRPr="00B124C0">
        <w:rPr>
          <w:rFonts w:asciiTheme="majorHAnsi" w:hAnsiTheme="majorHAnsi" w:cstheme="majorHAnsi"/>
          <w:b/>
          <w:bCs/>
        </w:rPr>
        <w:t>, K.</w:t>
      </w:r>
      <w:r w:rsidRPr="00B124C0">
        <w:rPr>
          <w:rFonts w:asciiTheme="majorHAnsi" w:hAnsiTheme="majorHAnsi" w:cstheme="majorHAnsi"/>
        </w:rPr>
        <w:t xml:space="preserve"> (2021). </w:t>
      </w:r>
      <w:r w:rsidRPr="00B124C0">
        <w:rPr>
          <w:rFonts w:asciiTheme="majorHAnsi" w:hAnsiTheme="majorHAnsi" w:cstheme="majorHAnsi"/>
          <w:lang w:val="fr-FR"/>
        </w:rPr>
        <w:t xml:space="preserve">Values in </w:t>
      </w:r>
      <w:proofErr w:type="spellStart"/>
      <w:r w:rsidRPr="00B124C0">
        <w:rPr>
          <w:rFonts w:asciiTheme="majorHAnsi" w:hAnsiTheme="majorHAnsi" w:cstheme="majorHAnsi"/>
          <w:lang w:val="fr-FR"/>
        </w:rPr>
        <w:t>psychometrics</w:t>
      </w:r>
      <w:proofErr w:type="spellEnd"/>
      <w:r w:rsidRPr="00B124C0">
        <w:rPr>
          <w:rFonts w:asciiTheme="majorHAnsi" w:hAnsiTheme="majorHAnsi" w:cstheme="majorHAnsi"/>
          <w:lang w:val="fr-FR"/>
        </w:rPr>
        <w:t xml:space="preserve">. </w:t>
      </w:r>
      <w:proofErr w:type="spellStart"/>
      <w:r w:rsidRPr="00B124C0">
        <w:rPr>
          <w:rFonts w:asciiTheme="majorHAnsi" w:hAnsiTheme="majorHAnsi" w:cstheme="majorHAnsi"/>
          <w:i/>
          <w:iCs/>
          <w:lang w:val="fr-FR"/>
        </w:rPr>
        <w:t>Psychometrika</w:t>
      </w:r>
      <w:proofErr w:type="spellEnd"/>
      <w:r w:rsidRPr="00B124C0">
        <w:rPr>
          <w:rFonts w:asciiTheme="majorHAnsi" w:hAnsiTheme="majorHAnsi" w:cstheme="majorHAnsi"/>
          <w:lang w:val="fr-FR"/>
        </w:rPr>
        <w:t xml:space="preserve">. </w:t>
      </w:r>
      <w:hyperlink r:id="rId23" w:tgtFrame="_new" w:history="1">
        <w:r w:rsidRPr="00B124C0">
          <w:rPr>
            <w:rStyle w:val="Hyperlink"/>
            <w:rFonts w:asciiTheme="majorHAnsi" w:hAnsiTheme="majorHAnsi" w:cstheme="majorHAnsi"/>
            <w:lang w:val="fr-FR"/>
          </w:rPr>
          <w:t>https://pmc.ncbi.nlm.nih.gov/articles/PMC9069645/</w:t>
        </w:r>
      </w:hyperlink>
      <w:r w:rsidRPr="00B124C0">
        <w:rPr>
          <w:rFonts w:asciiTheme="majorHAnsi" w:hAnsiTheme="majorHAnsi" w:cstheme="majorHAnsi"/>
          <w:lang w:val="fr-FR"/>
        </w:rPr>
        <w:br/>
      </w:r>
      <w:proofErr w:type="spellStart"/>
      <w:r w:rsidRPr="00B124C0">
        <w:rPr>
          <w:rFonts w:asciiTheme="majorHAnsi" w:hAnsiTheme="majorHAnsi" w:cstheme="majorHAnsi"/>
          <w:b/>
          <w:bCs/>
          <w:lang w:val="fr-FR"/>
        </w:rPr>
        <w:t>Slezkine</w:t>
      </w:r>
      <w:proofErr w:type="spellEnd"/>
      <w:r w:rsidRPr="00B124C0">
        <w:rPr>
          <w:rFonts w:asciiTheme="majorHAnsi" w:hAnsiTheme="majorHAnsi" w:cstheme="majorHAnsi"/>
          <w:b/>
          <w:bCs/>
          <w:lang w:val="fr-FR"/>
        </w:rPr>
        <w:t>, Y.</w:t>
      </w:r>
      <w:r w:rsidRPr="00B124C0">
        <w:rPr>
          <w:rFonts w:asciiTheme="majorHAnsi" w:hAnsiTheme="majorHAnsi" w:cstheme="majorHAnsi"/>
          <w:lang w:val="fr-FR"/>
        </w:rPr>
        <w:t xml:space="preserve"> (2017). </w:t>
      </w:r>
      <w:r w:rsidRPr="00B124C0">
        <w:rPr>
          <w:rFonts w:asciiTheme="majorHAnsi" w:hAnsiTheme="majorHAnsi" w:cstheme="majorHAnsi"/>
          <w:i/>
          <w:iCs/>
        </w:rPr>
        <w:t>The house of government</w:t>
      </w:r>
      <w:r w:rsidRPr="00B124C0">
        <w:rPr>
          <w:rFonts w:asciiTheme="majorHAnsi" w:hAnsiTheme="majorHAnsi" w:cstheme="majorHAnsi"/>
        </w:rPr>
        <w:t>. Princeton University Press.</w:t>
      </w:r>
      <w:r w:rsidRPr="00B124C0">
        <w:rPr>
          <w:rFonts w:asciiTheme="majorHAnsi" w:hAnsiTheme="majorHAnsi" w:cstheme="majorHAnsi"/>
        </w:rPr>
        <w:br/>
      </w:r>
      <w:proofErr w:type="spellStart"/>
      <w:r w:rsidRPr="00B124C0">
        <w:rPr>
          <w:rFonts w:asciiTheme="majorHAnsi" w:hAnsiTheme="majorHAnsi" w:cstheme="majorHAnsi"/>
          <w:b/>
          <w:bCs/>
        </w:rPr>
        <w:t>Tjeltveit</w:t>
      </w:r>
      <w:proofErr w:type="spellEnd"/>
      <w:r w:rsidRPr="00B124C0">
        <w:rPr>
          <w:rFonts w:asciiTheme="majorHAnsi" w:hAnsiTheme="majorHAnsi" w:cstheme="majorHAnsi"/>
          <w:b/>
          <w:bCs/>
        </w:rPr>
        <w:t>, A. C.</w:t>
      </w:r>
      <w:r w:rsidRPr="00B124C0">
        <w:rPr>
          <w:rFonts w:asciiTheme="majorHAnsi" w:hAnsiTheme="majorHAnsi" w:cstheme="majorHAnsi"/>
        </w:rPr>
        <w:t xml:space="preserve"> (1986). The ethics of value conversion in psychotherapy. </w:t>
      </w:r>
      <w:r w:rsidRPr="00B124C0">
        <w:rPr>
          <w:rFonts w:asciiTheme="majorHAnsi" w:hAnsiTheme="majorHAnsi" w:cstheme="majorHAnsi"/>
          <w:i/>
          <w:iCs/>
          <w:lang w:val="en-GB"/>
        </w:rPr>
        <w:t>Clinical Psychology Review</w:t>
      </w:r>
      <w:r w:rsidRPr="00B124C0">
        <w:rPr>
          <w:rFonts w:asciiTheme="majorHAnsi" w:hAnsiTheme="majorHAnsi" w:cstheme="majorHAnsi"/>
          <w:lang w:val="en-GB"/>
        </w:rPr>
        <w:t>, 6(6), 515-537.</w:t>
      </w:r>
      <w:r w:rsidRPr="00B124C0">
        <w:rPr>
          <w:rFonts w:asciiTheme="majorHAnsi" w:hAnsiTheme="majorHAnsi" w:cstheme="majorHAnsi"/>
          <w:lang w:val="en-GB"/>
        </w:rPr>
        <w:br/>
      </w:r>
      <w:proofErr w:type="spellStart"/>
      <w:r w:rsidRPr="00B124C0">
        <w:rPr>
          <w:rFonts w:asciiTheme="majorHAnsi" w:hAnsiTheme="majorHAnsi" w:cstheme="majorHAnsi"/>
          <w:b/>
          <w:bCs/>
          <w:lang w:val="en-GB"/>
        </w:rPr>
        <w:t>Veyne</w:t>
      </w:r>
      <w:proofErr w:type="spellEnd"/>
      <w:r w:rsidRPr="00B124C0">
        <w:rPr>
          <w:rFonts w:asciiTheme="majorHAnsi" w:hAnsiTheme="majorHAnsi" w:cstheme="majorHAnsi"/>
          <w:b/>
          <w:bCs/>
          <w:lang w:val="en-GB"/>
        </w:rPr>
        <w:t>, P.</w:t>
      </w:r>
      <w:r w:rsidRPr="00B124C0">
        <w:rPr>
          <w:rFonts w:asciiTheme="majorHAnsi" w:hAnsiTheme="majorHAnsi" w:cstheme="majorHAnsi"/>
          <w:lang w:val="en-GB"/>
        </w:rPr>
        <w:t xml:space="preserve"> (1971). </w:t>
      </w:r>
      <w:r w:rsidRPr="00B124C0">
        <w:rPr>
          <w:rFonts w:asciiTheme="majorHAnsi" w:hAnsiTheme="majorHAnsi" w:cstheme="majorHAnsi"/>
          <w:i/>
          <w:iCs/>
          <w:lang w:val="en-GB"/>
        </w:rPr>
        <w:t xml:space="preserve">Comment on </w:t>
      </w:r>
      <w:proofErr w:type="spellStart"/>
      <w:r w:rsidRPr="00B124C0">
        <w:rPr>
          <w:rFonts w:asciiTheme="majorHAnsi" w:hAnsiTheme="majorHAnsi" w:cstheme="majorHAnsi"/>
          <w:i/>
          <w:iCs/>
          <w:lang w:val="en-GB"/>
        </w:rPr>
        <w:t>écrit</w:t>
      </w:r>
      <w:proofErr w:type="spellEnd"/>
      <w:r w:rsidRPr="00B124C0">
        <w:rPr>
          <w:rFonts w:asciiTheme="majorHAnsi" w:hAnsiTheme="majorHAnsi" w:cstheme="majorHAnsi"/>
          <w:i/>
          <w:iCs/>
          <w:lang w:val="en-GB"/>
        </w:rPr>
        <w:t xml:space="preserve"> </w:t>
      </w:r>
      <w:proofErr w:type="spellStart"/>
      <w:r w:rsidRPr="00B124C0">
        <w:rPr>
          <w:rFonts w:asciiTheme="majorHAnsi" w:hAnsiTheme="majorHAnsi" w:cstheme="majorHAnsi"/>
          <w:i/>
          <w:iCs/>
          <w:lang w:val="en-GB"/>
        </w:rPr>
        <w:t>l’histoire</w:t>
      </w:r>
      <w:proofErr w:type="spellEnd"/>
      <w:r w:rsidRPr="00B124C0">
        <w:rPr>
          <w:rFonts w:asciiTheme="majorHAnsi" w:hAnsiTheme="majorHAnsi" w:cstheme="majorHAnsi"/>
          <w:lang w:val="en-GB"/>
        </w:rPr>
        <w:t xml:space="preserve">. </w:t>
      </w:r>
      <w:proofErr w:type="spellStart"/>
      <w:r w:rsidRPr="00B124C0">
        <w:rPr>
          <w:rFonts w:asciiTheme="majorHAnsi" w:hAnsiTheme="majorHAnsi" w:cstheme="majorHAnsi"/>
          <w:lang w:val="en-GB"/>
        </w:rPr>
        <w:t>Seuil</w:t>
      </w:r>
      <w:proofErr w:type="spellEnd"/>
      <w:r w:rsidRPr="00B124C0">
        <w:rPr>
          <w:rFonts w:asciiTheme="majorHAnsi" w:hAnsiTheme="majorHAnsi" w:cstheme="majorHAnsi"/>
          <w:lang w:val="en-GB"/>
        </w:rPr>
        <w:t>.</w:t>
      </w:r>
      <w:r w:rsidRPr="00B124C0">
        <w:rPr>
          <w:rFonts w:asciiTheme="majorHAnsi" w:hAnsiTheme="majorHAnsi" w:cstheme="majorHAnsi"/>
          <w:lang w:val="en-GB"/>
        </w:rPr>
        <w:br/>
      </w:r>
      <w:r w:rsidRPr="00B124C0">
        <w:rPr>
          <w:rFonts w:asciiTheme="majorHAnsi" w:hAnsiTheme="majorHAnsi" w:cstheme="majorHAnsi"/>
          <w:b/>
          <w:bCs/>
        </w:rPr>
        <w:t>Weber, M.</w:t>
      </w:r>
      <w:r w:rsidRPr="00B124C0">
        <w:rPr>
          <w:rFonts w:asciiTheme="majorHAnsi" w:hAnsiTheme="majorHAnsi" w:cstheme="majorHAnsi"/>
        </w:rPr>
        <w:t xml:space="preserve"> (1946) 'Science as a Vocation', in </w:t>
      </w:r>
      <w:proofErr w:type="spellStart"/>
      <w:r w:rsidRPr="00B124C0">
        <w:rPr>
          <w:rFonts w:asciiTheme="majorHAnsi" w:hAnsiTheme="majorHAnsi" w:cstheme="majorHAnsi"/>
        </w:rPr>
        <w:t>Gerth</w:t>
      </w:r>
      <w:proofErr w:type="spellEnd"/>
      <w:r w:rsidRPr="00B124C0">
        <w:rPr>
          <w:rFonts w:asciiTheme="majorHAnsi" w:hAnsiTheme="majorHAnsi" w:cstheme="majorHAnsi"/>
        </w:rPr>
        <w:t xml:space="preserve"> &amp; Mills (eds.) </w:t>
      </w:r>
      <w:r w:rsidRPr="00B124C0">
        <w:rPr>
          <w:rFonts w:asciiTheme="majorHAnsi" w:hAnsiTheme="majorHAnsi" w:cstheme="majorHAnsi"/>
          <w:i/>
          <w:iCs/>
        </w:rPr>
        <w:t>From Max Weber</w:t>
      </w:r>
      <w:r w:rsidRPr="00B124C0">
        <w:rPr>
          <w:rFonts w:asciiTheme="majorHAnsi" w:hAnsiTheme="majorHAnsi" w:cstheme="majorHAnsi"/>
        </w:rPr>
        <w:t>. New York: Oxford University Press, pp. 129-156.</w:t>
      </w:r>
      <w:r w:rsidRPr="00B124C0">
        <w:rPr>
          <w:rFonts w:asciiTheme="majorHAnsi" w:hAnsiTheme="majorHAnsi" w:cstheme="majorHAnsi"/>
        </w:rPr>
        <w:br/>
      </w:r>
      <w:r w:rsidRPr="00B124C0">
        <w:rPr>
          <w:rFonts w:asciiTheme="majorHAnsi" w:hAnsiTheme="majorHAnsi" w:cstheme="majorHAnsi"/>
          <w:b/>
          <w:bCs/>
        </w:rPr>
        <w:t>Woods, R., Fernandez, A., &amp; Coen, S.</w:t>
      </w:r>
      <w:r w:rsidRPr="00B124C0">
        <w:rPr>
          <w:rFonts w:asciiTheme="majorHAnsi" w:hAnsiTheme="majorHAnsi" w:cstheme="majorHAnsi"/>
        </w:rPr>
        <w:t xml:space="preserve"> (2012). </w:t>
      </w:r>
      <w:r w:rsidRPr="00B124C0">
        <w:rPr>
          <w:rFonts w:asciiTheme="majorHAnsi" w:hAnsiTheme="majorHAnsi" w:cstheme="majorHAnsi"/>
          <w:i/>
          <w:iCs/>
        </w:rPr>
        <w:t>The use of religious metaphors by UK newspapers</w:t>
      </w:r>
      <w:r w:rsidRPr="00B124C0">
        <w:rPr>
          <w:rFonts w:asciiTheme="majorHAnsi" w:hAnsiTheme="majorHAnsi" w:cstheme="majorHAnsi"/>
        </w:rPr>
        <w:t xml:space="preserve">. </w:t>
      </w:r>
      <w:r w:rsidRPr="00B124C0">
        <w:rPr>
          <w:rFonts w:asciiTheme="majorHAnsi" w:hAnsiTheme="majorHAnsi" w:cstheme="majorHAnsi"/>
          <w:i/>
          <w:iCs/>
        </w:rPr>
        <w:t>Public understanding of science</w:t>
      </w:r>
      <w:r w:rsidRPr="00B124C0">
        <w:rPr>
          <w:rFonts w:asciiTheme="majorHAnsi" w:hAnsiTheme="majorHAnsi" w:cstheme="majorHAnsi"/>
        </w:rPr>
        <w:t>, 21, 323-39. https://doi.org/10.1177/0963662510385061</w:t>
      </w:r>
      <w:r w:rsidRPr="00B124C0">
        <w:rPr>
          <w:rFonts w:asciiTheme="majorHAnsi" w:hAnsiTheme="majorHAnsi" w:cstheme="majorHAnsi"/>
        </w:rPr>
        <w:br/>
      </w:r>
      <w:r w:rsidRPr="00B124C0">
        <w:rPr>
          <w:rFonts w:asciiTheme="majorHAnsi" w:hAnsiTheme="majorHAnsi" w:cstheme="majorHAnsi"/>
          <w:b/>
          <w:bCs/>
        </w:rPr>
        <w:t>Yang, X., Qiu, H., &amp; Zhu, R.</w:t>
      </w:r>
      <w:r w:rsidRPr="00B124C0">
        <w:rPr>
          <w:rFonts w:asciiTheme="majorHAnsi" w:hAnsiTheme="majorHAnsi" w:cstheme="majorHAnsi"/>
        </w:rPr>
        <w:t xml:space="preserve"> (2022). </w:t>
      </w:r>
      <w:r w:rsidRPr="00B124C0">
        <w:rPr>
          <w:rFonts w:asciiTheme="majorHAnsi" w:hAnsiTheme="majorHAnsi" w:cstheme="majorHAnsi"/>
          <w:i/>
          <w:iCs/>
        </w:rPr>
        <w:t>Bargaining with patriarchy or converting men into pro-feminists</w:t>
      </w:r>
      <w:r w:rsidRPr="00B124C0">
        <w:rPr>
          <w:rFonts w:asciiTheme="majorHAnsi" w:hAnsiTheme="majorHAnsi" w:cstheme="majorHAnsi"/>
        </w:rPr>
        <w:t xml:space="preserve">. </w:t>
      </w:r>
      <w:r w:rsidRPr="00B124C0">
        <w:rPr>
          <w:rFonts w:asciiTheme="majorHAnsi" w:hAnsiTheme="majorHAnsi" w:cstheme="majorHAnsi"/>
          <w:i/>
          <w:iCs/>
        </w:rPr>
        <w:t>Feminist Media Studies</w:t>
      </w:r>
      <w:r w:rsidRPr="00B124C0">
        <w:rPr>
          <w:rFonts w:asciiTheme="majorHAnsi" w:hAnsiTheme="majorHAnsi" w:cstheme="majorHAnsi"/>
        </w:rPr>
        <w:t xml:space="preserve">, 23(6), 2610–2628. </w:t>
      </w:r>
      <w:hyperlink r:id="rId24" w:tgtFrame="_new" w:history="1">
        <w:r w:rsidRPr="00B124C0">
          <w:rPr>
            <w:rStyle w:val="Hyperlink"/>
            <w:rFonts w:asciiTheme="majorHAnsi" w:hAnsiTheme="majorHAnsi" w:cstheme="majorHAnsi"/>
          </w:rPr>
          <w:t>https://doi.org/10.1080/14680777.2022.2075909</w:t>
        </w:r>
      </w:hyperlink>
      <w:r w:rsidRPr="00B124C0">
        <w:rPr>
          <w:rFonts w:asciiTheme="majorHAnsi" w:hAnsiTheme="majorHAnsi" w:cstheme="majorHAnsi"/>
        </w:rPr>
        <w:br/>
      </w:r>
      <w:r w:rsidRPr="00B124C0">
        <w:rPr>
          <w:rFonts w:asciiTheme="majorHAnsi" w:hAnsiTheme="majorHAnsi" w:cstheme="majorHAnsi"/>
          <w:b/>
          <w:bCs/>
        </w:rPr>
        <w:t>Zedong, M.</w:t>
      </w:r>
      <w:r w:rsidRPr="00B124C0">
        <w:rPr>
          <w:rFonts w:asciiTheme="majorHAnsi" w:hAnsiTheme="majorHAnsi" w:cstheme="majorHAnsi"/>
        </w:rPr>
        <w:t xml:space="preserve"> (1940). </w:t>
      </w:r>
      <w:r w:rsidRPr="00B124C0">
        <w:rPr>
          <w:rFonts w:asciiTheme="majorHAnsi" w:hAnsiTheme="majorHAnsi" w:cstheme="majorHAnsi"/>
          <w:i/>
          <w:iCs/>
        </w:rPr>
        <w:t>On new democracy</w:t>
      </w:r>
      <w:r w:rsidRPr="00B124C0">
        <w:rPr>
          <w:rFonts w:asciiTheme="majorHAnsi" w:hAnsiTheme="majorHAnsi" w:cstheme="majorHAnsi"/>
        </w:rPr>
        <w:t xml:space="preserve">. </w:t>
      </w:r>
      <w:r w:rsidRPr="00B124C0">
        <w:rPr>
          <w:rFonts w:asciiTheme="majorHAnsi" w:hAnsiTheme="majorHAnsi" w:cstheme="majorHAnsi"/>
          <w:i/>
          <w:iCs/>
        </w:rPr>
        <w:t xml:space="preserve">Selected works of Mao </w:t>
      </w:r>
      <w:proofErr w:type="spellStart"/>
      <w:r w:rsidRPr="00B124C0">
        <w:rPr>
          <w:rFonts w:asciiTheme="majorHAnsi" w:hAnsiTheme="majorHAnsi" w:cstheme="majorHAnsi"/>
          <w:i/>
          <w:iCs/>
        </w:rPr>
        <w:t>Tse</w:t>
      </w:r>
      <w:proofErr w:type="spellEnd"/>
      <w:r w:rsidRPr="00B124C0">
        <w:rPr>
          <w:rFonts w:asciiTheme="majorHAnsi" w:hAnsiTheme="majorHAnsi" w:cstheme="majorHAnsi"/>
          <w:i/>
          <w:iCs/>
        </w:rPr>
        <w:t>-tung</w:t>
      </w:r>
      <w:r w:rsidRPr="00B124C0">
        <w:rPr>
          <w:rFonts w:asciiTheme="majorHAnsi" w:hAnsiTheme="majorHAnsi" w:cstheme="majorHAnsi"/>
        </w:rPr>
        <w:t>, 2, 1965-1977.</w:t>
      </w:r>
      <w:bookmarkEnd w:id="3"/>
    </w:p>
    <w:sectPr w:rsidR="00ED3B2A" w:rsidRPr="00B124C0" w:rsidSect="00370560">
      <w:footerReference w:type="default" r:id="rId25"/>
      <w:headerReference w:type="first" r:id="rId26"/>
      <w:pgSz w:w="12240" w:h="15840"/>
      <w:pgMar w:top="1440" w:right="1440" w:bottom="1080" w:left="1440" w:header="720" w:footer="720" w:gutter="0"/>
      <w:pgNumType w:start="1"/>
      <w:cols w:space="1701"/>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A7A918" w14:textId="77777777" w:rsidR="00C7026D" w:rsidRDefault="00C7026D">
      <w:pPr>
        <w:spacing w:line="240" w:lineRule="auto"/>
      </w:pPr>
      <w:r>
        <w:separator/>
      </w:r>
    </w:p>
  </w:endnote>
  <w:endnote w:type="continuationSeparator" w:id="0">
    <w:p w14:paraId="05C696BF" w14:textId="77777777" w:rsidR="00C7026D" w:rsidRDefault="00C7026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4034227"/>
      <w:docPartObj>
        <w:docPartGallery w:val="Page Numbers (Bottom of Page)"/>
        <w:docPartUnique/>
      </w:docPartObj>
    </w:sdtPr>
    <w:sdtEndPr>
      <w:rPr>
        <w:noProof/>
      </w:rPr>
    </w:sdtEndPr>
    <w:sdtContent>
      <w:p w14:paraId="1A95CB62" w14:textId="6399F927" w:rsidR="00370560" w:rsidRDefault="0037056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6D0929F" w14:textId="77777777" w:rsidR="00370560" w:rsidRDefault="003705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E3856" w14:textId="77777777" w:rsidR="00C7026D" w:rsidRDefault="00C7026D">
      <w:pPr>
        <w:spacing w:line="240" w:lineRule="auto"/>
      </w:pPr>
      <w:r>
        <w:separator/>
      </w:r>
    </w:p>
  </w:footnote>
  <w:footnote w:type="continuationSeparator" w:id="0">
    <w:p w14:paraId="036D30EB" w14:textId="77777777" w:rsidR="00C7026D" w:rsidRDefault="00C7026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800AD" w14:textId="77777777" w:rsidR="006C2BFB" w:rsidRDefault="00000000">
    <w:r>
      <w:rPr>
        <w:noProof/>
      </w:rPr>
      <mc:AlternateContent>
        <mc:Choice Requires="wpg">
          <w:drawing>
            <wp:anchor distT="114300" distB="114300" distL="114300" distR="114300" simplePos="0" relativeHeight="251658240" behindDoc="1" locked="0" layoutInCell="1" allowOverlap="1" wp14:anchorId="5C18C94B" wp14:editId="3DEF181D">
              <wp:simplePos x="0" y="0"/>
              <wp:positionH relativeFrom="column">
                <wp:posOffset>4848225</wp:posOffset>
              </wp:positionH>
              <wp:positionV relativeFrom="paragraph">
                <wp:posOffset>-136524</wp:posOffset>
              </wp:positionV>
              <wp:extent cx="1352550" cy="702623"/>
              <wp:effectExtent l="0" t="0" r="0" b="0"/>
              <wp:wrapNone/>
              <wp:docPr id="342044380" name="image1.jpg"/>
              <wp:cNvGraphicFramePr/>
              <a:graphic xmlns:a="http://schemas.openxmlformats.org/drawingml/2006/main">
                <a:graphicData uri="http://schemas.openxmlformats.org/drawingml/2006/picture">
                  <pic:pic xmlns:pic="http://schemas.openxmlformats.org/drawingml/2006/picture">
                    <pic:nvPicPr>
                      <pic:cNvPr id="0" name="image1.jpg"/>
                      <pic:cNvPicPr/>
                    </pic:nvPicPr>
                    <pic:blipFill>
                      <a:blip r:embed="rId1"/>
                      <a:srcRect/>
                      <a:stretch/>
                    </pic:blipFill>
                    <pic:spPr bwMode="auto">
                      <a:xfrm>
                        <a:off x="0" y="0"/>
                        <a:ext cx="1352550" cy="702623"/>
                      </a:xfrm>
                      <a:prstGeom prst="rect">
                        <a:avLst/>
                      </a:prstGeom>
                      <a:ln/>
                    </pic:spPr>
                  </pic:pic>
                </a:graphicData>
              </a:graphic>
            </wp:anchor>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position:absolute;z-index:0;o:allowoverlap:true;o:allowincell:true;mso-position-horizontal-relative:text;margin-left:381.75pt;mso-position-horizontal:absolute;mso-position-vertical-relative:text;margin-top:-10.75pt;mso-position-vertical:absolute;width:106.50pt;height:55.32pt;mso-wrap-distance-left:9.00pt;mso-wrap-distance-top:9.00pt;mso-wrap-distance-right:9.00pt;mso-wrap-distance-bottom:9.00pt;z-index:1;">
              <v:imagedata r:id="rId2" o:title="" croptop="0f" cropleft="0f" cropbottom="0f" cropright="0f"/>
              <o:lock v:ext="edit" rotation="t"/>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6E6366"/>
    <w:multiLevelType w:val="multilevel"/>
    <w:tmpl w:val="1F30D0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4AF0C23"/>
    <w:multiLevelType w:val="hybridMultilevel"/>
    <w:tmpl w:val="9DD80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E976A33"/>
    <w:multiLevelType w:val="multilevel"/>
    <w:tmpl w:val="E4AE71C2"/>
    <w:lvl w:ilvl="0">
      <w:start w:val="1"/>
      <w:numFmt w:val="bullet"/>
      <w:lvlText w:val="·"/>
      <w:lvlJc w:val="left"/>
      <w:pPr>
        <w:ind w:left="992" w:hanging="360"/>
      </w:pPr>
      <w:rPr>
        <w:rFonts w:ascii="Symbol" w:eastAsia="Symbol" w:hAnsi="Symbol" w:cs="Symbol" w:hint="default"/>
      </w:rPr>
    </w:lvl>
    <w:lvl w:ilvl="1">
      <w:start w:val="1"/>
      <w:numFmt w:val="bullet"/>
      <w:lvlText w:val="o"/>
      <w:lvlJc w:val="left"/>
      <w:pPr>
        <w:ind w:left="1712" w:hanging="360"/>
      </w:pPr>
      <w:rPr>
        <w:rFonts w:ascii="Courier New" w:eastAsia="Courier New" w:hAnsi="Courier New" w:cs="Courier New" w:hint="default"/>
      </w:rPr>
    </w:lvl>
    <w:lvl w:ilvl="2">
      <w:start w:val="1"/>
      <w:numFmt w:val="bullet"/>
      <w:lvlText w:val="§"/>
      <w:lvlJc w:val="left"/>
      <w:pPr>
        <w:ind w:left="2432" w:hanging="360"/>
      </w:pPr>
      <w:rPr>
        <w:rFonts w:ascii="Wingdings" w:eastAsia="Wingdings" w:hAnsi="Wingdings" w:cs="Wingdings" w:hint="default"/>
      </w:rPr>
    </w:lvl>
    <w:lvl w:ilvl="3">
      <w:start w:val="1"/>
      <w:numFmt w:val="bullet"/>
      <w:lvlText w:val="·"/>
      <w:lvlJc w:val="left"/>
      <w:pPr>
        <w:ind w:left="3152" w:hanging="360"/>
      </w:pPr>
      <w:rPr>
        <w:rFonts w:ascii="Symbol" w:eastAsia="Symbol" w:hAnsi="Symbol" w:cs="Symbol" w:hint="default"/>
      </w:rPr>
    </w:lvl>
    <w:lvl w:ilvl="4">
      <w:start w:val="1"/>
      <w:numFmt w:val="bullet"/>
      <w:lvlText w:val="o"/>
      <w:lvlJc w:val="left"/>
      <w:pPr>
        <w:ind w:left="3872" w:hanging="360"/>
      </w:pPr>
      <w:rPr>
        <w:rFonts w:ascii="Courier New" w:eastAsia="Courier New" w:hAnsi="Courier New" w:cs="Courier New" w:hint="default"/>
      </w:rPr>
    </w:lvl>
    <w:lvl w:ilvl="5">
      <w:start w:val="1"/>
      <w:numFmt w:val="bullet"/>
      <w:lvlText w:val="§"/>
      <w:lvlJc w:val="left"/>
      <w:pPr>
        <w:ind w:left="4592" w:hanging="360"/>
      </w:pPr>
      <w:rPr>
        <w:rFonts w:ascii="Wingdings" w:eastAsia="Wingdings" w:hAnsi="Wingdings" w:cs="Wingdings" w:hint="default"/>
      </w:rPr>
    </w:lvl>
    <w:lvl w:ilvl="6">
      <w:start w:val="1"/>
      <w:numFmt w:val="bullet"/>
      <w:lvlText w:val="·"/>
      <w:lvlJc w:val="left"/>
      <w:pPr>
        <w:ind w:left="5312" w:hanging="360"/>
      </w:pPr>
      <w:rPr>
        <w:rFonts w:ascii="Symbol" w:eastAsia="Symbol" w:hAnsi="Symbol" w:cs="Symbol" w:hint="default"/>
      </w:rPr>
    </w:lvl>
    <w:lvl w:ilvl="7">
      <w:start w:val="1"/>
      <w:numFmt w:val="bullet"/>
      <w:lvlText w:val="o"/>
      <w:lvlJc w:val="left"/>
      <w:pPr>
        <w:ind w:left="6032" w:hanging="360"/>
      </w:pPr>
      <w:rPr>
        <w:rFonts w:ascii="Courier New" w:eastAsia="Courier New" w:hAnsi="Courier New" w:cs="Courier New" w:hint="default"/>
      </w:rPr>
    </w:lvl>
    <w:lvl w:ilvl="8">
      <w:start w:val="1"/>
      <w:numFmt w:val="bullet"/>
      <w:lvlText w:val="§"/>
      <w:lvlJc w:val="left"/>
      <w:pPr>
        <w:ind w:left="6752" w:hanging="360"/>
      </w:pPr>
      <w:rPr>
        <w:rFonts w:ascii="Wingdings" w:eastAsia="Wingdings" w:hAnsi="Wingdings" w:cs="Wingdings" w:hint="default"/>
      </w:rPr>
    </w:lvl>
  </w:abstractNum>
  <w:num w:numId="1" w16cid:durableId="1118330106">
    <w:abstractNumId w:val="0"/>
  </w:num>
  <w:num w:numId="2" w16cid:durableId="532889950">
    <w:abstractNumId w:val="2"/>
  </w:num>
  <w:num w:numId="3" w16cid:durableId="3239697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2BFB"/>
    <w:rsid w:val="00295352"/>
    <w:rsid w:val="00370560"/>
    <w:rsid w:val="004F48AA"/>
    <w:rsid w:val="006C2BFB"/>
    <w:rsid w:val="009A03B0"/>
    <w:rsid w:val="00A70890"/>
    <w:rsid w:val="00B124C0"/>
    <w:rsid w:val="00C7026D"/>
    <w:rsid w:val="00C81127"/>
    <w:rsid w:val="00ED3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3EBF2"/>
  <w15:docId w15:val="{D9C64005-2014-450A-9DEE-DDD5D7C6C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link w:val="Heading1Char"/>
    <w:pPr>
      <w:keepNext/>
      <w:keepLines/>
      <w:spacing w:before="400" w:after="120"/>
      <w:outlineLvl w:val="0"/>
    </w:pPr>
    <w:rPr>
      <w:sz w:val="40"/>
      <w:szCs w:val="40"/>
    </w:rPr>
  </w:style>
  <w:style w:type="paragraph" w:styleId="Heading2">
    <w:name w:val="heading 2"/>
    <w:basedOn w:val="Normal"/>
    <w:next w:val="Normal"/>
    <w:link w:val="Heading2Char"/>
    <w:pPr>
      <w:keepNext/>
      <w:keepLines/>
      <w:spacing w:before="360" w:after="120"/>
      <w:outlineLvl w:val="1"/>
    </w:pPr>
    <w:rPr>
      <w:sz w:val="32"/>
      <w:szCs w:val="32"/>
    </w:rPr>
  </w:style>
  <w:style w:type="paragraph" w:styleId="Heading3">
    <w:name w:val="heading 3"/>
    <w:basedOn w:val="Normal"/>
    <w:next w:val="Normal"/>
    <w:link w:val="Heading3Char"/>
    <w:pPr>
      <w:keepNext/>
      <w:keepLines/>
      <w:spacing w:before="320" w:after="80"/>
      <w:outlineLvl w:val="2"/>
    </w:pPr>
    <w:rPr>
      <w:color w:val="434343"/>
      <w:sz w:val="28"/>
      <w:szCs w:val="28"/>
    </w:rPr>
  </w:style>
  <w:style w:type="paragraph" w:styleId="Heading4">
    <w:name w:val="heading 4"/>
    <w:basedOn w:val="Normal"/>
    <w:next w:val="Normal"/>
    <w:link w:val="Heading4Char"/>
    <w:pPr>
      <w:keepNext/>
      <w:keepLines/>
      <w:spacing w:before="280" w:after="80"/>
      <w:outlineLvl w:val="3"/>
    </w:pPr>
    <w:rPr>
      <w:color w:val="666666"/>
      <w:sz w:val="24"/>
      <w:szCs w:val="24"/>
    </w:rPr>
  </w:style>
  <w:style w:type="paragraph" w:styleId="Heading5">
    <w:name w:val="heading 5"/>
    <w:basedOn w:val="Normal"/>
    <w:next w:val="Normal"/>
    <w:link w:val="Heading5Char"/>
    <w:pPr>
      <w:keepNext/>
      <w:keepLines/>
      <w:spacing w:before="240" w:after="80"/>
      <w:outlineLvl w:val="4"/>
    </w:pPr>
    <w:rPr>
      <w:color w:val="666666"/>
    </w:rPr>
  </w:style>
  <w:style w:type="paragraph" w:styleId="Heading6">
    <w:name w:val="heading 6"/>
    <w:basedOn w:val="Normal"/>
    <w:next w:val="Normal"/>
    <w:link w:val="Heading6Char"/>
    <w:pPr>
      <w:keepNext/>
      <w:keepLines/>
      <w:spacing w:before="240" w:after="80"/>
      <w:outlineLvl w:val="5"/>
    </w:pPr>
    <w:rPr>
      <w:i/>
      <w:color w:val="666666"/>
    </w:rPr>
  </w:style>
  <w:style w:type="paragraph" w:styleId="Heading7">
    <w:name w:val="heading 7"/>
    <w:basedOn w:val="Normal"/>
    <w:next w:val="Normal"/>
    <w:link w:val="Heading7Char"/>
    <w:uiPriority w:val="9"/>
    <w:unhideWhenUsed/>
    <w:qFormat/>
    <w:pPr>
      <w:keepNext/>
      <w:keepLines/>
      <w:spacing w:before="40"/>
      <w:outlineLvl w:val="6"/>
    </w:pPr>
    <w:rPr>
      <w:color w:val="595959" w:themeColor="text1" w:themeTint="A6"/>
    </w:rPr>
  </w:style>
  <w:style w:type="paragraph" w:styleId="Heading8">
    <w:name w:val="heading 8"/>
    <w:basedOn w:val="Normal"/>
    <w:next w:val="Normal"/>
    <w:link w:val="Heading8Char"/>
    <w:uiPriority w:val="9"/>
    <w:unhideWhenUsed/>
    <w:qFormat/>
    <w:pPr>
      <w:keepNext/>
      <w:keepLines/>
      <w:outlineLvl w:val="7"/>
    </w:pPr>
    <w:rPr>
      <w:i/>
      <w:iCs/>
      <w:color w:val="272727" w:themeColor="text1" w:themeTint="D8"/>
    </w:rPr>
  </w:style>
  <w:style w:type="paragraph" w:styleId="Heading9">
    <w:name w:val="heading 9"/>
    <w:basedOn w:val="Normal"/>
    <w:next w:val="Normal"/>
    <w:link w:val="Heading9Char"/>
    <w:uiPriority w:val="9"/>
    <w:unhideWhenUsed/>
    <w:qFormat/>
    <w:pPr>
      <w:keepNext/>
      <w:keepLines/>
      <w:outlineLvl w:val="8"/>
    </w:pPr>
    <w:rPr>
      <w:i/>
      <w:iCs/>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pPr>
      <w:spacing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Light">
    <w:name w:val="Grid Table Light"/>
    <w:basedOn w:val="TableNormal"/>
    <w:uiPriority w:val="59"/>
    <w:pPr>
      <w:spacing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pPr>
      <w:spacing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PlainTable2">
    <w:name w:val="Plain Table 2"/>
    <w:basedOn w:val="TableNormal"/>
    <w:uiPriority w:val="59"/>
    <w:pPr>
      <w:spacing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pPr>
      <w:spacing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4">
    <w:name w:val="Plain Table 4"/>
    <w:basedOn w:val="TableNormal"/>
    <w:uiPriority w:val="99"/>
    <w:pPr>
      <w:spacing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5">
    <w:name w:val="Plain Table 5"/>
    <w:basedOn w:val="TableNormal"/>
    <w:uiPriority w:val="99"/>
    <w:pPr>
      <w:spacing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pPr>
      <w:spacing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pPr>
      <w:spacing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styleId="GridTable1Light-Accent2">
    <w:name w:val="Grid Table 1 Light Accent 2"/>
    <w:basedOn w:val="TableNormal"/>
    <w:uiPriority w:val="99"/>
    <w:pPr>
      <w:spacing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styleId="GridTable1Light-Accent3">
    <w:name w:val="Grid Table 1 Light Accent 3"/>
    <w:basedOn w:val="TableNormal"/>
    <w:uiPriority w:val="99"/>
    <w:pPr>
      <w:spacing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styleId="GridTable1Light-Accent4">
    <w:name w:val="Grid Table 1 Light Accent 4"/>
    <w:basedOn w:val="TableNormal"/>
    <w:uiPriority w:val="99"/>
    <w:pPr>
      <w:spacing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styleId="GridTable1Light-Accent5">
    <w:name w:val="Grid Table 1 Light Accent 5"/>
    <w:basedOn w:val="TableNormal"/>
    <w:uiPriority w:val="99"/>
    <w:pPr>
      <w:spacing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styleId="GridTable1Light-Accent6">
    <w:name w:val="Grid Table 1 Light Accent 6"/>
    <w:basedOn w:val="TableNormal"/>
    <w:uiPriority w:val="99"/>
    <w:pPr>
      <w:spacing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GridTable2">
    <w:name w:val="Grid Table 2"/>
    <w:basedOn w:val="TableNormal"/>
    <w:uiPriority w:val="99"/>
    <w:pPr>
      <w:spacing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2-Accent1">
    <w:name w:val="Grid Table 2 Accent 1"/>
    <w:basedOn w:val="TableNormal"/>
    <w:uiPriority w:val="99"/>
    <w:pPr>
      <w:spacing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2-Accent2">
    <w:name w:val="Grid Table 2 Accent 2"/>
    <w:basedOn w:val="TableNormal"/>
    <w:uiPriority w:val="99"/>
    <w:pPr>
      <w:spacing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2-Accent3">
    <w:name w:val="Grid Table 2 Accent 3"/>
    <w:basedOn w:val="TableNormal"/>
    <w:uiPriority w:val="99"/>
    <w:pPr>
      <w:spacing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2-Accent4">
    <w:name w:val="Grid Table 2 Accent 4"/>
    <w:basedOn w:val="TableNormal"/>
    <w:uiPriority w:val="99"/>
    <w:pPr>
      <w:spacing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2-Accent5">
    <w:name w:val="Grid Table 2 Accent 5"/>
    <w:basedOn w:val="TableNormal"/>
    <w:uiPriority w:val="99"/>
    <w:pPr>
      <w:spacing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2-Accent6">
    <w:name w:val="Grid Table 2 Accent 6"/>
    <w:basedOn w:val="TableNormal"/>
    <w:uiPriority w:val="99"/>
    <w:pPr>
      <w:spacing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3">
    <w:name w:val="Grid Table 3"/>
    <w:basedOn w:val="TableNormal"/>
    <w:uiPriority w:val="99"/>
    <w:pPr>
      <w:spacing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3-Accent1">
    <w:name w:val="Grid Table 3 Accent 1"/>
    <w:basedOn w:val="TableNormal"/>
    <w:uiPriority w:val="99"/>
    <w:pPr>
      <w:spacing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3-Accent2">
    <w:name w:val="Grid Table 3 Accent 2"/>
    <w:basedOn w:val="TableNormal"/>
    <w:uiPriority w:val="99"/>
    <w:pPr>
      <w:spacing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3-Accent3">
    <w:name w:val="Grid Table 3 Accent 3"/>
    <w:basedOn w:val="TableNormal"/>
    <w:uiPriority w:val="99"/>
    <w:pPr>
      <w:spacing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3-Accent4">
    <w:name w:val="Grid Table 3 Accent 4"/>
    <w:basedOn w:val="TableNormal"/>
    <w:uiPriority w:val="99"/>
    <w:pPr>
      <w:spacing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3-Accent5">
    <w:name w:val="Grid Table 3 Accent 5"/>
    <w:basedOn w:val="TableNormal"/>
    <w:uiPriority w:val="99"/>
    <w:pPr>
      <w:spacing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3-Accent6">
    <w:name w:val="Grid Table 3 Accent 6"/>
    <w:basedOn w:val="TableNormal"/>
    <w:uiPriority w:val="99"/>
    <w:pPr>
      <w:spacing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4">
    <w:name w:val="Grid Table 4"/>
    <w:basedOn w:val="TableNormal"/>
    <w:uiPriority w:val="59"/>
    <w:pPr>
      <w:spacing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4-Accent1">
    <w:name w:val="Grid Table 4 Accent 1"/>
    <w:basedOn w:val="TableNormal"/>
    <w:uiPriority w:val="59"/>
    <w:pPr>
      <w:spacing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styleId="GridTable4-Accent2">
    <w:name w:val="Grid Table 4 Accent 2"/>
    <w:basedOn w:val="TableNormal"/>
    <w:uiPriority w:val="59"/>
    <w:pPr>
      <w:spacing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4-Accent3">
    <w:name w:val="Grid Table 4 Accent 3"/>
    <w:basedOn w:val="TableNormal"/>
    <w:uiPriority w:val="59"/>
    <w:pPr>
      <w:spacing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4-Accent4">
    <w:name w:val="Grid Table 4 Accent 4"/>
    <w:basedOn w:val="TableNormal"/>
    <w:uiPriority w:val="59"/>
    <w:pPr>
      <w:spacing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4-Accent5">
    <w:name w:val="Grid Table 4 Accent 5"/>
    <w:basedOn w:val="TableNormal"/>
    <w:uiPriority w:val="59"/>
    <w:pPr>
      <w:spacing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4-Accent6">
    <w:name w:val="Grid Table 4 Accent 6"/>
    <w:basedOn w:val="TableNormal"/>
    <w:uiPriority w:val="59"/>
    <w:pPr>
      <w:spacing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5Dark">
    <w:name w:val="Grid Table 5 Dark"/>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styleId="GridTable5Dark-Accent2">
    <w:name w:val="Grid Table 5 Dark Accent 2"/>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styleId="GridTable5Dark-Accent3">
    <w:name w:val="Grid Table 5 Dark Accent 3"/>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styleId="GridTable5Dark-Accent5">
    <w:name w:val="Grid Table 5 Dark Accent 5"/>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styleId="GridTable5Dark-Accent6">
    <w:name w:val="Grid Table 5 Dark Accent 6"/>
    <w:basedOn w:val="TableNormal"/>
    <w:uiPriority w:val="99"/>
    <w:pPr>
      <w:spacing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GridTable6Colorful">
    <w:name w:val="Grid Table 6 Colorful"/>
    <w:basedOn w:val="TableNormal"/>
    <w:uiPriority w:val="99"/>
    <w:pPr>
      <w:spacing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pPr>
      <w:spacing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6Colorful-Accent2">
    <w:name w:val="Grid Table 6 Colorful Accent 2"/>
    <w:basedOn w:val="TableNormal"/>
    <w:uiPriority w:val="99"/>
    <w:pPr>
      <w:spacing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6Colorful-Accent3">
    <w:name w:val="Grid Table 6 Colorful Accent 3"/>
    <w:basedOn w:val="TableNormal"/>
    <w:uiPriority w:val="99"/>
    <w:pPr>
      <w:spacing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6Colorful-Accent4">
    <w:name w:val="Grid Table 6 Colorful Accent 4"/>
    <w:basedOn w:val="TableNormal"/>
    <w:uiPriority w:val="99"/>
    <w:pPr>
      <w:spacing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6Colorful-Accent5">
    <w:name w:val="Grid Table 6 Colorful Accent 5"/>
    <w:basedOn w:val="TableNormal"/>
    <w:uiPriority w:val="99"/>
    <w:pPr>
      <w:spacing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6Colorful-Accent6">
    <w:name w:val="Grid Table 6 Colorful Accent 6"/>
    <w:basedOn w:val="TableNormal"/>
    <w:uiPriority w:val="99"/>
    <w:pPr>
      <w:spacing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GridTable7Colorful">
    <w:name w:val="Grid Table 7 Colorful"/>
    <w:basedOn w:val="TableNormal"/>
    <w:uiPriority w:val="99"/>
    <w:pPr>
      <w:spacing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pPr>
      <w:spacing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7Colorful-Accent2">
    <w:name w:val="Grid Table 7 Colorful Accent 2"/>
    <w:basedOn w:val="TableNormal"/>
    <w:uiPriority w:val="99"/>
    <w:pPr>
      <w:spacing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7Colorful-Accent3">
    <w:name w:val="Grid Table 7 Colorful Accent 3"/>
    <w:basedOn w:val="TableNormal"/>
    <w:uiPriority w:val="99"/>
    <w:pPr>
      <w:spacing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7Colorful-Accent4">
    <w:name w:val="Grid Table 7 Colorful Accent 4"/>
    <w:basedOn w:val="TableNormal"/>
    <w:uiPriority w:val="99"/>
    <w:pPr>
      <w:spacing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7Colorful-Accent5">
    <w:name w:val="Grid Table 7 Colorful Accent 5"/>
    <w:basedOn w:val="TableNormal"/>
    <w:uiPriority w:val="99"/>
    <w:pPr>
      <w:spacing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7Colorful-Accent6">
    <w:name w:val="Grid Table 7 Colorful Accent 6"/>
    <w:basedOn w:val="TableNormal"/>
    <w:uiPriority w:val="99"/>
    <w:pPr>
      <w:spacing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ListTable1Light">
    <w:name w:val="List Table 1 Light"/>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ListTable1Light-Accent1">
    <w:name w:val="List Table 1 Light Accent 1"/>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styleId="ListTable1Light-Accent2">
    <w:name w:val="List Table 1 Light Accent 2"/>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styleId="ListTable1Light-Accent3">
    <w:name w:val="List Table 1 Light Accent 3"/>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styleId="ListTable1Light-Accent4">
    <w:name w:val="List Table 1 Light Accent 4"/>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styleId="ListTable1Light-Accent5">
    <w:name w:val="List Table 1 Light Accent 5"/>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styleId="ListTable1Light-Accent6">
    <w:name w:val="List Table 1 Light Accent 6"/>
    <w:basedOn w:val="TableNormal"/>
    <w:uiPriority w:val="99"/>
    <w:pPr>
      <w:spacing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ListTable2">
    <w:name w:val="List Table 2"/>
    <w:basedOn w:val="TableNormal"/>
    <w:uiPriority w:val="99"/>
    <w:pPr>
      <w:spacing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2-Accent1">
    <w:name w:val="List Table 2 Accent 1"/>
    <w:basedOn w:val="TableNormal"/>
    <w:uiPriority w:val="99"/>
    <w:pPr>
      <w:spacing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2-Accent2">
    <w:name w:val="List Table 2 Accent 2"/>
    <w:basedOn w:val="TableNormal"/>
    <w:uiPriority w:val="99"/>
    <w:pPr>
      <w:spacing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2-Accent3">
    <w:name w:val="List Table 2 Accent 3"/>
    <w:basedOn w:val="TableNormal"/>
    <w:uiPriority w:val="99"/>
    <w:pPr>
      <w:spacing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2-Accent4">
    <w:name w:val="List Table 2 Accent 4"/>
    <w:basedOn w:val="TableNormal"/>
    <w:uiPriority w:val="99"/>
    <w:pPr>
      <w:spacing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2-Accent5">
    <w:name w:val="List Table 2 Accent 5"/>
    <w:basedOn w:val="TableNormal"/>
    <w:uiPriority w:val="99"/>
    <w:pPr>
      <w:spacing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2-Accent6">
    <w:name w:val="List Table 2 Accent 6"/>
    <w:basedOn w:val="TableNormal"/>
    <w:uiPriority w:val="99"/>
    <w:pPr>
      <w:spacing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3">
    <w:name w:val="List Table 3"/>
    <w:basedOn w:val="TableNormal"/>
    <w:uiPriority w:val="99"/>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pPr>
      <w:spacing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styleId="ListTable3-Accent2">
    <w:name w:val="List Table 3 Accent 2"/>
    <w:basedOn w:val="TableNormal"/>
    <w:uiPriority w:val="99"/>
    <w:pPr>
      <w:spacing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styleId="ListTable3-Accent3">
    <w:name w:val="List Table 3 Accent 3"/>
    <w:basedOn w:val="TableNormal"/>
    <w:uiPriority w:val="99"/>
    <w:pPr>
      <w:spacing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styleId="ListTable3-Accent4">
    <w:name w:val="List Table 3 Accent 4"/>
    <w:basedOn w:val="TableNormal"/>
    <w:uiPriority w:val="99"/>
    <w:pPr>
      <w:spacing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styleId="ListTable3-Accent5">
    <w:name w:val="List Table 3 Accent 5"/>
    <w:basedOn w:val="TableNormal"/>
    <w:uiPriority w:val="99"/>
    <w:pPr>
      <w:spacing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styleId="ListTable3-Accent6">
    <w:name w:val="List Table 3 Accent 6"/>
    <w:basedOn w:val="TableNormal"/>
    <w:uiPriority w:val="99"/>
    <w:pPr>
      <w:spacing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ListTable4">
    <w:name w:val="List Table 4"/>
    <w:basedOn w:val="TableNormal"/>
    <w:uiPriority w:val="99"/>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4-Accent1">
    <w:name w:val="List Table 4 Accent 1"/>
    <w:basedOn w:val="TableNormal"/>
    <w:uiPriority w:val="99"/>
    <w:pPr>
      <w:spacing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4-Accent2">
    <w:name w:val="List Table 4 Accent 2"/>
    <w:basedOn w:val="TableNormal"/>
    <w:uiPriority w:val="99"/>
    <w:pPr>
      <w:spacing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4-Accent3">
    <w:name w:val="List Table 4 Accent 3"/>
    <w:basedOn w:val="TableNormal"/>
    <w:uiPriority w:val="99"/>
    <w:pPr>
      <w:spacing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4-Accent4">
    <w:name w:val="List Table 4 Accent 4"/>
    <w:basedOn w:val="TableNormal"/>
    <w:uiPriority w:val="99"/>
    <w:pPr>
      <w:spacing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4-Accent5">
    <w:name w:val="List Table 4 Accent 5"/>
    <w:basedOn w:val="TableNormal"/>
    <w:uiPriority w:val="99"/>
    <w:pPr>
      <w:spacing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4-Accent6">
    <w:name w:val="List Table 4 Accent 6"/>
    <w:basedOn w:val="TableNormal"/>
    <w:uiPriority w:val="99"/>
    <w:pPr>
      <w:spacing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5Dark">
    <w:name w:val="List Table 5 Dark"/>
    <w:basedOn w:val="TableNormal"/>
    <w:uiPriority w:val="99"/>
    <w:pPr>
      <w:spacing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styleId="ListTable5Dark-Accent1">
    <w:name w:val="List Table 5 Dark Accent 1"/>
    <w:basedOn w:val="TableNormal"/>
    <w:uiPriority w:val="99"/>
    <w:pPr>
      <w:spacing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styleId="ListTable5Dark-Accent2">
    <w:name w:val="List Table 5 Dark Accent 2"/>
    <w:basedOn w:val="TableNormal"/>
    <w:uiPriority w:val="99"/>
    <w:pPr>
      <w:spacing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styleId="ListTable5Dark-Accent3">
    <w:name w:val="List Table 5 Dark Accent 3"/>
    <w:basedOn w:val="TableNormal"/>
    <w:uiPriority w:val="99"/>
    <w:pPr>
      <w:spacing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styleId="ListTable5Dark-Accent4">
    <w:name w:val="List Table 5 Dark Accent 4"/>
    <w:basedOn w:val="TableNormal"/>
    <w:uiPriority w:val="99"/>
    <w:pPr>
      <w:spacing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styleId="ListTable5Dark-Accent5">
    <w:name w:val="List Table 5 Dark Accent 5"/>
    <w:basedOn w:val="TableNormal"/>
    <w:uiPriority w:val="99"/>
    <w:pPr>
      <w:spacing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styleId="ListTable5Dark-Accent6">
    <w:name w:val="List Table 5 Dark Accent 6"/>
    <w:basedOn w:val="TableNormal"/>
    <w:uiPriority w:val="99"/>
    <w:pPr>
      <w:spacing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ListTable6Colorful">
    <w:name w:val="List Table 6 Colorful"/>
    <w:basedOn w:val="TableNormal"/>
    <w:uiPriority w:val="99"/>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pPr>
      <w:spacing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6Colorful-Accent2">
    <w:name w:val="List Table 6 Colorful Accent 2"/>
    <w:basedOn w:val="TableNormal"/>
    <w:uiPriority w:val="99"/>
    <w:pPr>
      <w:spacing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6Colorful-Accent3">
    <w:name w:val="List Table 6 Colorful Accent 3"/>
    <w:basedOn w:val="TableNormal"/>
    <w:uiPriority w:val="99"/>
    <w:pPr>
      <w:spacing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6Colorful-Accent4">
    <w:name w:val="List Table 6 Colorful Accent 4"/>
    <w:basedOn w:val="TableNormal"/>
    <w:uiPriority w:val="99"/>
    <w:pPr>
      <w:spacing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6Colorful-Accent5">
    <w:name w:val="List Table 6 Colorful Accent 5"/>
    <w:basedOn w:val="TableNormal"/>
    <w:uiPriority w:val="99"/>
    <w:pPr>
      <w:spacing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6Colorful-Accent6">
    <w:name w:val="List Table 6 Colorful Accent 6"/>
    <w:basedOn w:val="TableNormal"/>
    <w:uiPriority w:val="99"/>
    <w:pPr>
      <w:spacing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ListTable7Colorful">
    <w:name w:val="List Table 7 Colorful"/>
    <w:basedOn w:val="TableNormal"/>
    <w:uiPriority w:val="99"/>
    <w:pPr>
      <w:spacing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pPr>
      <w:spacing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7Colorful-Accent2">
    <w:name w:val="List Table 7 Colorful Accent 2"/>
    <w:basedOn w:val="TableNormal"/>
    <w:uiPriority w:val="99"/>
    <w:pPr>
      <w:spacing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7Colorful-Accent3">
    <w:name w:val="List Table 7 Colorful Accent 3"/>
    <w:basedOn w:val="TableNormal"/>
    <w:uiPriority w:val="99"/>
    <w:pPr>
      <w:spacing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7Colorful-Accent4">
    <w:name w:val="List Table 7 Colorful Accent 4"/>
    <w:basedOn w:val="TableNormal"/>
    <w:uiPriority w:val="99"/>
    <w:pPr>
      <w:spacing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7Colorful-Accent5">
    <w:name w:val="List Table 7 Colorful Accent 5"/>
    <w:basedOn w:val="TableNormal"/>
    <w:uiPriority w:val="99"/>
    <w:pPr>
      <w:spacing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7Colorful-Accent6">
    <w:name w:val="List Table 7 Colorful Accent 6"/>
    <w:basedOn w:val="TableNormal"/>
    <w:uiPriority w:val="99"/>
    <w:pPr>
      <w:spacing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TableNormal"/>
    <w:uiPriority w:val="99"/>
    <w:pPr>
      <w:spacing w:line="240" w:lineRule="auto"/>
    </w:pPr>
    <w:rPr>
      <w:color w:val="404040"/>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TableNormal"/>
    <w:uiPriority w:val="99"/>
    <w:pPr>
      <w:spacing w:line="240" w:lineRule="auto"/>
    </w:pPr>
    <w:rPr>
      <w:color w:val="40404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pPr>
      <w:spacing w:line="240" w:lineRule="auto"/>
    </w:pPr>
    <w:rPr>
      <w:color w:val="404040"/>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TableNormal"/>
    <w:uiPriority w:val="99"/>
    <w:pPr>
      <w:spacing w:line="240" w:lineRule="auto"/>
    </w:pPr>
    <w:rPr>
      <w:color w:val="404040"/>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TableNormal"/>
    <w:uiPriority w:val="99"/>
    <w:pPr>
      <w:spacing w:line="240" w:lineRule="auto"/>
    </w:pPr>
    <w:rPr>
      <w:color w:val="404040"/>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TableNormal"/>
    <w:uiPriority w:val="99"/>
    <w:pPr>
      <w:spacing w:line="240" w:lineRule="auto"/>
    </w:pPr>
    <w:rPr>
      <w:color w:val="404040"/>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TableNormal"/>
    <w:uiPriority w:val="99"/>
    <w:pPr>
      <w:spacing w:line="240" w:lineRule="auto"/>
    </w:pPr>
    <w:rPr>
      <w:color w:val="404040"/>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TableNormal"/>
    <w:uiPriority w:val="99"/>
    <w:pPr>
      <w:spacing w:line="240" w:lineRule="auto"/>
    </w:pPr>
    <w:rPr>
      <w:color w:val="404040"/>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TableNormal"/>
    <w:uiPriority w:val="99"/>
    <w:pPr>
      <w:spacing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pPr>
      <w:spacing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Normal"/>
    <w:uiPriority w:val="99"/>
    <w:pPr>
      <w:spacing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Normal"/>
    <w:uiPriority w:val="99"/>
    <w:pPr>
      <w:spacing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Normal"/>
    <w:uiPriority w:val="99"/>
    <w:pPr>
      <w:spacing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Normal"/>
    <w:uiPriority w:val="99"/>
    <w:pPr>
      <w:spacing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Normal"/>
    <w:uiPriority w:val="99"/>
    <w:pPr>
      <w:spacing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Heading1Char">
    <w:name w:val="Heading 1 Char"/>
    <w:basedOn w:val="DefaultParagraphFont"/>
    <w:link w:val="Heading1"/>
    <w:uiPriority w:val="9"/>
    <w:rPr>
      <w:rFonts w:ascii="Arial" w:eastAsia="Arial" w:hAnsi="Arial" w:cs="Arial"/>
      <w:color w:val="365F91" w:themeColor="accent1" w:themeShade="BF"/>
      <w:sz w:val="40"/>
      <w:szCs w:val="40"/>
    </w:rPr>
  </w:style>
  <w:style w:type="character" w:customStyle="1" w:styleId="Heading2Char">
    <w:name w:val="Heading 2 Char"/>
    <w:basedOn w:val="DefaultParagraphFont"/>
    <w:link w:val="Heading2"/>
    <w:uiPriority w:val="9"/>
    <w:rPr>
      <w:rFonts w:ascii="Arial" w:eastAsia="Arial" w:hAnsi="Arial" w:cs="Arial"/>
      <w:color w:val="365F91" w:themeColor="accent1" w:themeShade="BF"/>
      <w:sz w:val="32"/>
      <w:szCs w:val="32"/>
    </w:rPr>
  </w:style>
  <w:style w:type="character" w:customStyle="1" w:styleId="Heading3Char">
    <w:name w:val="Heading 3 Char"/>
    <w:basedOn w:val="DefaultParagraphFont"/>
    <w:link w:val="Heading3"/>
    <w:uiPriority w:val="9"/>
    <w:rPr>
      <w:rFonts w:ascii="Arial" w:eastAsia="Arial" w:hAnsi="Arial" w:cs="Arial"/>
      <w:color w:val="365F91" w:themeColor="accent1" w:themeShade="BF"/>
      <w:sz w:val="28"/>
      <w:szCs w:val="28"/>
    </w:rPr>
  </w:style>
  <w:style w:type="character" w:customStyle="1" w:styleId="Heading4Char">
    <w:name w:val="Heading 4 Char"/>
    <w:basedOn w:val="DefaultParagraphFont"/>
    <w:link w:val="Heading4"/>
    <w:uiPriority w:val="9"/>
    <w:rPr>
      <w:rFonts w:ascii="Arial" w:eastAsia="Arial" w:hAnsi="Arial" w:cs="Arial"/>
      <w:i/>
      <w:iCs/>
      <w:color w:val="365F91" w:themeColor="accent1" w:themeShade="BF"/>
    </w:rPr>
  </w:style>
  <w:style w:type="character" w:customStyle="1" w:styleId="Heading5Char">
    <w:name w:val="Heading 5 Char"/>
    <w:basedOn w:val="DefaultParagraphFont"/>
    <w:link w:val="Heading5"/>
    <w:uiPriority w:val="9"/>
    <w:rPr>
      <w:rFonts w:ascii="Arial" w:eastAsia="Arial" w:hAnsi="Arial" w:cs="Arial"/>
      <w:color w:val="365F91" w:themeColor="accent1" w:themeShade="BF"/>
    </w:rPr>
  </w:style>
  <w:style w:type="character" w:customStyle="1" w:styleId="Heading6Char">
    <w:name w:val="Heading 6 Char"/>
    <w:basedOn w:val="DefaultParagraphFont"/>
    <w:link w:val="Heading6"/>
    <w:uiPriority w:val="9"/>
    <w:rPr>
      <w:rFonts w:ascii="Arial" w:eastAsia="Arial" w:hAnsi="Arial" w:cs="Arial"/>
      <w:i/>
      <w:iCs/>
      <w:color w:val="595959" w:themeColor="text1" w:themeTint="A6"/>
    </w:rPr>
  </w:style>
  <w:style w:type="character" w:customStyle="1" w:styleId="Heading7Char">
    <w:name w:val="Heading 7 Char"/>
    <w:basedOn w:val="DefaultParagraphFont"/>
    <w:link w:val="Heading7"/>
    <w:uiPriority w:val="9"/>
    <w:rPr>
      <w:rFonts w:ascii="Arial" w:eastAsia="Arial" w:hAnsi="Arial" w:cs="Arial"/>
      <w:color w:val="595959" w:themeColor="text1" w:themeTint="A6"/>
    </w:rPr>
  </w:style>
  <w:style w:type="character" w:customStyle="1" w:styleId="Heading8Char">
    <w:name w:val="Heading 8 Char"/>
    <w:basedOn w:val="DefaultParagraphFont"/>
    <w:link w:val="Heading8"/>
    <w:uiPriority w:val="9"/>
    <w:rPr>
      <w:rFonts w:ascii="Arial" w:eastAsia="Arial" w:hAnsi="Arial" w:cs="Arial"/>
      <w:i/>
      <w:iCs/>
      <w:color w:val="272727" w:themeColor="text1" w:themeTint="D8"/>
    </w:rPr>
  </w:style>
  <w:style w:type="character" w:customStyle="1" w:styleId="Heading9Char">
    <w:name w:val="Heading 9 Char"/>
    <w:basedOn w:val="DefaultParagraphFont"/>
    <w:link w:val="Heading9"/>
    <w:uiPriority w:val="9"/>
    <w:rPr>
      <w:rFonts w:ascii="Arial" w:eastAsia="Arial" w:hAnsi="Arial" w:cs="Arial"/>
      <w:i/>
      <w:iCs/>
      <w:color w:val="272727" w:themeColor="text1" w:themeTint="D8"/>
    </w:rPr>
  </w:style>
  <w:style w:type="character" w:customStyle="1" w:styleId="TitleChar">
    <w:name w:val="Title Char"/>
    <w:basedOn w:val="DefaultParagraphFont"/>
    <w:link w:val="Title"/>
    <w:uiPriority w:val="10"/>
    <w:rPr>
      <w:rFonts w:ascii="Arial" w:eastAsia="Arial" w:hAnsi="Arial" w:cs="Arial"/>
      <w:spacing w:val="-10"/>
      <w:sz w:val="56"/>
      <w:szCs w:val="56"/>
    </w:rPr>
  </w:style>
  <w:style w:type="character" w:customStyle="1" w:styleId="SubtitleChar">
    <w:name w:val="Subtitle Char"/>
    <w:basedOn w:val="DefaultParagraphFont"/>
    <w:link w:val="Subtitle"/>
    <w:uiPriority w:val="11"/>
    <w:rPr>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365F91" w:themeColor="accent1" w:themeShade="BF"/>
    </w:rPr>
  </w:style>
  <w:style w:type="paragraph" w:styleId="IntenseQuote">
    <w:name w:val="Intense Quote"/>
    <w:basedOn w:val="Normal"/>
    <w:next w:val="Normal"/>
    <w:link w:val="IntenseQuoteChar"/>
    <w:uiPriority w:val="30"/>
    <w:qFormat/>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Pr>
      <w:i/>
      <w:iCs/>
      <w:color w:val="365F91" w:themeColor="accent1" w:themeShade="BF"/>
    </w:rPr>
  </w:style>
  <w:style w:type="character" w:styleId="IntenseReference">
    <w:name w:val="Intense Reference"/>
    <w:basedOn w:val="DefaultParagraphFont"/>
    <w:uiPriority w:val="32"/>
    <w:qFormat/>
    <w:rPr>
      <w:b/>
      <w:bCs/>
      <w:smallCaps/>
      <w:color w:val="365F91" w:themeColor="accent1" w:themeShade="BF"/>
      <w:spacing w:val="5"/>
    </w:rPr>
  </w:style>
  <w:style w:type="paragraph" w:styleId="NoSpacing">
    <w:name w:val="No Spacing"/>
    <w:basedOn w:val="Normal"/>
    <w:uiPriority w:val="1"/>
    <w:qFormat/>
    <w:pPr>
      <w:spacing w:line="240" w:lineRule="auto"/>
    </w:p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Strong">
    <w:name w:val="Strong"/>
    <w:basedOn w:val="DefaultParagraphFont"/>
    <w:uiPriority w:val="22"/>
    <w:qFormat/>
    <w:rPr>
      <w:b/>
      <w:bCs/>
    </w:rPr>
  </w:style>
  <w:style w:type="character" w:styleId="SubtleReference">
    <w:name w:val="Subtle Reference"/>
    <w:basedOn w:val="DefaultParagraphFont"/>
    <w:uiPriority w:val="31"/>
    <w:qFormat/>
    <w:rPr>
      <w:smallCaps/>
      <w:color w:val="5A5A5A" w:themeColor="text1" w:themeTint="A5"/>
    </w:rPr>
  </w:style>
  <w:style w:type="character" w:styleId="BookTitle">
    <w:name w:val="Book Title"/>
    <w:basedOn w:val="DefaultParagraphFont"/>
    <w:uiPriority w:val="33"/>
    <w:qFormat/>
    <w:rPr>
      <w:b/>
      <w:bCs/>
      <w:i/>
      <w:iCs/>
      <w:spacing w:val="5"/>
    </w:rPr>
  </w:style>
  <w:style w:type="paragraph" w:styleId="Header">
    <w:name w:val="header"/>
    <w:basedOn w:val="Normal"/>
    <w:link w:val="HeaderChar"/>
    <w:uiPriority w:val="99"/>
    <w:unhideWhenUsed/>
    <w:pPr>
      <w:tabs>
        <w:tab w:val="center" w:pos="4844"/>
        <w:tab w:val="right" w:pos="9689"/>
      </w:tabs>
      <w:spacing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844"/>
        <w:tab w:val="right" w:pos="9689"/>
      </w:tabs>
      <w:spacing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qFormat/>
    <w:pPr>
      <w:spacing w:after="200" w:line="240" w:lineRule="auto"/>
    </w:pPr>
    <w:rPr>
      <w:i/>
      <w:iCs/>
      <w:color w:val="1F497D" w:themeColor="text2"/>
      <w:sz w:val="18"/>
      <w:szCs w:val="18"/>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line="240" w:lineRule="auto"/>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000FF" w:themeColor="hyperlink"/>
      <w:u w:val="single"/>
    </w:rPr>
  </w:style>
  <w:style w:type="character" w:styleId="FollowedHyperlink">
    <w:name w:val="FollowedHyperlink"/>
    <w:basedOn w:val="DefaultParagraphFont"/>
    <w:uiPriority w:val="99"/>
    <w:semiHidden/>
    <w:unhideWhenUsed/>
    <w:rPr>
      <w:color w:val="800080" w:themeColor="followedHyperlink"/>
      <w:u w:val="single"/>
    </w:rPr>
  </w:style>
  <w:style w:type="paragraph" w:styleId="TOC1">
    <w:name w:val="toc 1"/>
    <w:basedOn w:val="Normal"/>
    <w:next w:val="Normal"/>
    <w:uiPriority w:val="39"/>
    <w:unhideWhenUsed/>
    <w:pPr>
      <w:spacing w:after="100"/>
    </w:pPr>
  </w:style>
  <w:style w:type="paragraph" w:styleId="TOC2">
    <w:name w:val="toc 2"/>
    <w:basedOn w:val="Normal"/>
    <w:next w:val="Normal"/>
    <w:uiPriority w:val="39"/>
    <w:unhideWhenUsed/>
    <w:pPr>
      <w:spacing w:after="100"/>
      <w:ind w:left="220"/>
    </w:pPr>
  </w:style>
  <w:style w:type="paragraph" w:styleId="TOC3">
    <w:name w:val="toc 3"/>
    <w:basedOn w:val="Normal"/>
    <w:next w:val="Normal"/>
    <w:uiPriority w:val="39"/>
    <w:unhideWhenUsed/>
    <w:pPr>
      <w:spacing w:after="100"/>
      <w:ind w:left="440"/>
    </w:pPr>
  </w:style>
  <w:style w:type="paragraph" w:styleId="TOC4">
    <w:name w:val="toc 4"/>
    <w:basedOn w:val="Normal"/>
    <w:next w:val="Normal"/>
    <w:uiPriority w:val="39"/>
    <w:unhideWhenUsed/>
    <w:pPr>
      <w:spacing w:after="100"/>
      <w:ind w:left="660"/>
    </w:pPr>
  </w:style>
  <w:style w:type="paragraph" w:styleId="TOC5">
    <w:name w:val="toc 5"/>
    <w:basedOn w:val="Normal"/>
    <w:next w:val="Normal"/>
    <w:uiPriority w:val="39"/>
    <w:unhideWhenUsed/>
    <w:pPr>
      <w:spacing w:after="100"/>
      <w:ind w:left="880"/>
    </w:pPr>
  </w:style>
  <w:style w:type="paragraph" w:styleId="TOC6">
    <w:name w:val="toc 6"/>
    <w:basedOn w:val="Normal"/>
    <w:next w:val="Normal"/>
    <w:uiPriority w:val="39"/>
    <w:unhideWhenUsed/>
    <w:pPr>
      <w:spacing w:after="100"/>
      <w:ind w:left="1100"/>
    </w:pPr>
  </w:style>
  <w:style w:type="paragraph" w:styleId="TOC7">
    <w:name w:val="toc 7"/>
    <w:basedOn w:val="Normal"/>
    <w:next w:val="Normal"/>
    <w:uiPriority w:val="39"/>
    <w:unhideWhenUsed/>
    <w:pPr>
      <w:spacing w:after="100"/>
      <w:ind w:left="1320"/>
    </w:pPr>
  </w:style>
  <w:style w:type="paragraph" w:styleId="TOC8">
    <w:name w:val="toc 8"/>
    <w:basedOn w:val="Normal"/>
    <w:next w:val="Normal"/>
    <w:uiPriority w:val="39"/>
    <w:unhideWhenUsed/>
    <w:pPr>
      <w:spacing w:after="100"/>
      <w:ind w:left="1540"/>
    </w:pPr>
  </w:style>
  <w:style w:type="paragraph" w:styleId="TOC9">
    <w:name w:val="toc 9"/>
    <w:basedOn w:val="Normal"/>
    <w:next w:val="Normal"/>
    <w:uiPriority w:val="39"/>
    <w:unhideWhenUsed/>
    <w:pPr>
      <w:spacing w:after="100"/>
      <w:ind w:left="1760"/>
    </w:pPr>
  </w:style>
  <w:style w:type="paragraph" w:styleId="TOCHeading">
    <w:name w:val="TOC Heading"/>
    <w:uiPriority w:val="39"/>
    <w:unhideWhenUsed/>
  </w:style>
  <w:style w:type="paragraph" w:styleId="TableofFigures">
    <w:name w:val="table of figures"/>
    <w:basedOn w:val="Normal"/>
    <w:next w:val="Normal"/>
    <w:uiPriority w:val="99"/>
    <w:unhideWhenUsed/>
  </w:style>
  <w:style w:type="paragraph" w:styleId="Title">
    <w:name w:val="Title"/>
    <w:basedOn w:val="Normal"/>
    <w:next w:val="Normal"/>
    <w:link w:val="TitleChar"/>
    <w:pPr>
      <w:keepNext/>
      <w:keepLines/>
      <w:spacing w:after="60"/>
    </w:pPr>
    <w:rPr>
      <w:sz w:val="52"/>
      <w:szCs w:val="52"/>
    </w:rPr>
  </w:style>
  <w:style w:type="paragraph" w:styleId="Subtitle">
    <w:name w:val="Subtitle"/>
    <w:basedOn w:val="Normal"/>
    <w:next w:val="Normal"/>
    <w:link w:val="SubtitleChar"/>
    <w:pPr>
      <w:keepNext/>
      <w:keepLines/>
      <w:spacing w:after="320"/>
    </w:pPr>
    <w:rPr>
      <w:color w:val="666666"/>
      <w:sz w:val="30"/>
      <w:szCs w:val="30"/>
    </w:rPr>
  </w:style>
  <w:style w:type="table" w:customStyle="1" w:styleId="StGen0">
    <w:name w:val="StGen0"/>
    <w:basedOn w:val="TableNormal"/>
    <w:tblPr>
      <w:tblStyleRowBandSize w:val="1"/>
      <w:tblStyleColBandSize w:val="1"/>
      <w:tblCellMar>
        <w:top w:w="100" w:type="dxa"/>
        <w:left w:w="100" w:type="dxa"/>
        <w:bottom w:w="100" w:type="dxa"/>
        <w:right w:w="100" w:type="dxa"/>
      </w:tblCellMar>
    </w:tblPr>
    <w:tcPr>
      <w:shd w:val="clear" w:color="auto" w:fill="FFFFFF"/>
    </w:tcPr>
  </w:style>
  <w:style w:type="character" w:styleId="UnresolvedMention">
    <w:name w:val="Unresolved Mention"/>
    <w:basedOn w:val="DefaultParagraphFont"/>
    <w:uiPriority w:val="99"/>
    <w:semiHidden/>
    <w:unhideWhenUsed/>
    <w:rsid w:val="00ED3B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etanoiastudies.org/" TargetMode="External"/><Relationship Id="rId13" Type="http://schemas.openxmlformats.org/officeDocument/2006/relationships/hyperlink" Target="https://doi.org/10.1126/science.adi1778" TargetMode="External"/><Relationship Id="rId18" Type="http://schemas.openxmlformats.org/officeDocument/2006/relationships/hyperlink" Target="https://doi.org/10.4159/9780674054158"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doi.org/10.1093/ips/olz021" TargetMode="External"/><Relationship Id="rId7" Type="http://schemas.openxmlformats.org/officeDocument/2006/relationships/hyperlink" Target="https://metanoiastudies.org/metanoia-symposium-2025-proposal-submission-form/" TargetMode="External"/><Relationship Id="rId12" Type="http://schemas.openxmlformats.org/officeDocument/2006/relationships/hyperlink" Target="https://doi.org/10.1163/9789004501775" TargetMode="External"/><Relationship Id="rId17" Type="http://schemas.openxmlformats.org/officeDocument/2006/relationships/hyperlink" Target="https://doi.org/10.1162/qss_a_00056"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doi.org/10.1007/s11098-018-01235-3" TargetMode="External"/><Relationship Id="rId20" Type="http://schemas.openxmlformats.org/officeDocument/2006/relationships/hyperlink" Target="https://doi.org/10.1177/089124160629882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2307/2111554" TargetMode="External"/><Relationship Id="rId24" Type="http://schemas.openxmlformats.org/officeDocument/2006/relationships/hyperlink" Target="https://doi.org/10.1080/14680777.2022.2075909" TargetMode="External"/><Relationship Id="rId5" Type="http://schemas.openxmlformats.org/officeDocument/2006/relationships/footnotes" Target="footnotes.xml"/><Relationship Id="rId15" Type="http://schemas.openxmlformats.org/officeDocument/2006/relationships/hyperlink" Target="https://doi.org/10.4000/lisa.1140" TargetMode="External"/><Relationship Id="rId23" Type="http://schemas.openxmlformats.org/officeDocument/2006/relationships/hyperlink" Target="https://pmc.ncbi.nlm.nih.gov/articles/PMC9069645/" TargetMode="External"/><Relationship Id="rId28" Type="http://schemas.openxmlformats.org/officeDocument/2006/relationships/theme" Target="theme/theme1.xml"/><Relationship Id="rId10" Type="http://schemas.openxmlformats.org/officeDocument/2006/relationships/hyperlink" Target="https://doi.org/10.1023/A:1023344412661" TargetMode="External"/><Relationship Id="rId19" Type="http://schemas.openxmlformats.org/officeDocument/2006/relationships/hyperlink" Target="https://doi.org/10.1177/106591299805100308" TargetMode="External"/><Relationship Id="rId4" Type="http://schemas.openxmlformats.org/officeDocument/2006/relationships/webSettings" Target="webSettings.xml"/><Relationship Id="rId9" Type="http://schemas.openxmlformats.org/officeDocument/2006/relationships/hyperlink" Target="mailto:alexis.delaferriere@gmail.com" TargetMode="External"/><Relationship Id="rId14" Type="http://schemas.openxmlformats.org/officeDocument/2006/relationships/hyperlink" Target="https://doi.org/10.3390/socsci3010071" TargetMode="External"/><Relationship Id="rId22" Type="http://schemas.openxmlformats.org/officeDocument/2006/relationships/hyperlink" Target="https://doi.org/10.1111/1467-6486.00068"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7</Pages>
  <Words>3530</Words>
  <Characters>20123</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Artaud de la Ferriere, Alexis</cp:lastModifiedBy>
  <cp:revision>10</cp:revision>
  <dcterms:created xsi:type="dcterms:W3CDTF">2025-04-24T09:08:00Z</dcterms:created>
  <dcterms:modified xsi:type="dcterms:W3CDTF">2025-04-30T11:40:00Z</dcterms:modified>
</cp:coreProperties>
</file>