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CC3" w14:textId="77777777" w:rsidR="006C2BFB" w:rsidRDefault="00000000">
      <w:pPr>
        <w:pStyle w:val="Heading1"/>
        <w:spacing w:before="240" w:after="240" w:line="240" w:lineRule="auto"/>
        <w:jc w:val="center"/>
        <w:rPr>
          <w:rFonts w:ascii="Montserrat" w:eastAsia="Montserrat" w:hAnsi="Montserrat" w:cs="Montserrat"/>
        </w:rPr>
      </w:pPr>
      <w:bookmarkStart w:id="0" w:name="_qpdzrdngo6z4"/>
      <w:bookmarkEnd w:id="0"/>
      <w:r>
        <w:rPr>
          <w:rFonts w:ascii="Montserrat" w:eastAsia="Montserrat" w:hAnsi="Montserrat" w:cs="Montserrat"/>
        </w:rPr>
        <w:t xml:space="preserve">METANOIA SYMPOSIUM 2025 </w:t>
      </w:r>
    </w:p>
    <w:p w14:paraId="6F181C57" w14:textId="77777777" w:rsidR="00096DDB" w:rsidRDefault="00096DDB">
      <w:pPr>
        <w:pStyle w:val="Heading3"/>
        <w:spacing w:before="240" w:after="240"/>
        <w:jc w:val="center"/>
        <w:rPr>
          <w:rFonts w:ascii="Montserrat" w:eastAsia="Montserrat" w:hAnsi="Montserrat" w:cs="Montserrat"/>
          <w:color w:val="auto"/>
          <w:sz w:val="32"/>
          <w:szCs w:val="32"/>
        </w:rPr>
      </w:pPr>
      <w:bookmarkStart w:id="1" w:name="_8exviiju73ps"/>
      <w:bookmarkStart w:id="2" w:name="_o1ahisolf826"/>
      <w:bookmarkEnd w:id="1"/>
      <w:bookmarkEnd w:id="2"/>
      <w:r w:rsidRPr="00096DDB">
        <w:rPr>
          <w:rFonts w:ascii="Montserrat" w:eastAsia="Montserrat" w:hAnsi="Montserrat" w:cs="Montserrat"/>
          <w:color w:val="auto"/>
          <w:sz w:val="32"/>
          <w:szCs w:val="32"/>
        </w:rPr>
        <w:t>Appel à contributions</w:t>
      </w:r>
    </w:p>
    <w:p w14:paraId="4B46B73E" w14:textId="77777777" w:rsidR="00F47862" w:rsidRDefault="00F47862" w:rsidP="00F47862">
      <w:pPr>
        <w:jc w:val="center"/>
        <w:rPr>
          <w:color w:val="434343"/>
          <w:sz w:val="28"/>
          <w:szCs w:val="28"/>
          <w:lang w:val="fr-FR"/>
        </w:rPr>
      </w:pPr>
      <w:r>
        <w:rPr>
          <w:color w:val="434343"/>
          <w:sz w:val="28"/>
          <w:szCs w:val="28"/>
          <w:lang w:val="fr-FR"/>
        </w:rPr>
        <w:t xml:space="preserve">Le Centre d’Etudes Interdisciplinaire de la Métanoïa </w:t>
      </w:r>
      <w:r w:rsidR="00096DDB" w:rsidRPr="00096DDB">
        <w:rPr>
          <w:color w:val="434343"/>
          <w:sz w:val="28"/>
          <w:szCs w:val="28"/>
          <w:lang w:val="fr-FR"/>
        </w:rPr>
        <w:t>lance un appel à contributions pour son deuxième symposium annuel sur les thèmes (1) de l'analogie religieuse de la conversion dans des contextes non religieux et (2) de la mesure des transformations.</w:t>
      </w:r>
      <w:r w:rsidR="00000000">
        <w:rPr>
          <w:noProof/>
        </w:rPr>
        <mc:AlternateContent>
          <mc:Choice Requires="wpg">
            <w:drawing>
              <wp:inline distT="0" distB="0" distL="0" distR="0" wp14:anchorId="04452DA5" wp14:editId="6CF4D12B">
                <wp:extent cx="0" cy="19050"/>
                <wp:effectExtent l="0" t="0" r="0" b="0"/>
                <wp:docPr id="2" name="Rectangle 2"/>
                <wp:cNvGraphicFramePr/>
                <a:graphic xmlns:a="http://schemas.openxmlformats.org/drawingml/2006/main">
                  <a:graphicData uri="http://schemas.microsoft.com/office/word/2010/wordprocessingShape">
                    <wps:wsp>
                      <wps:cNvSpPr/>
                      <wps:spPr bwMode="auto">
                        <a:xfrm>
                          <a:off x="0" y="0"/>
                          <a:ext cx="0" cy="19050"/>
                        </a:xfrm>
                        <a:prstGeom prst="rect">
                          <a:avLst/>
                        </a:prstGeom>
                        <a:solidFill>
                          <a:srgbClr val="A0A0A0"/>
                        </a:solidFill>
                        <a:ln>
                          <a:noFill/>
                        </a:ln>
                      </wps:spPr>
                      <wps:bodyPr rot="0">
                        <a:prstTxWarp prst="textNoShape">
                          <a:avLst/>
                        </a:prstTxWarp>
                        <a:noAutofit/>
                      </wps:bodyPr>
                    </wps:wsp>
                  </a:graphicData>
                </a:graphic>
              </wp:inline>
            </w:drawing>
          </mc:Choice>
          <mc:Fallback xmlns:a="http://schemas.openxmlformats.org/drawingml/2006/main">
            <w:pict>
              <v:shape id="shape 1" o:spid="_x0000_s1" o:spt="1" type="#_x0000_t1" style="width:0.00pt;height:1.50pt;mso-wrap-distance-left:0.00pt;mso-wrap-distance-top:0.00pt;mso-wrap-distance-right:0.00pt;mso-wrap-distance-bottom:0.00pt;visibility:visible;" fillcolor="#A0A0A0" stroked="f"/>
            </w:pict>
          </mc:Fallback>
        </mc:AlternateContent>
      </w:r>
    </w:p>
    <w:p w14:paraId="1543B745" w14:textId="77777777" w:rsidR="00F47862" w:rsidRDefault="00F47862" w:rsidP="00F47862">
      <w:pPr>
        <w:jc w:val="center"/>
        <w:rPr>
          <w:color w:val="434343"/>
          <w:sz w:val="28"/>
          <w:szCs w:val="28"/>
          <w:lang w:val="fr-FR"/>
        </w:rPr>
      </w:pPr>
    </w:p>
    <w:p w14:paraId="2033CDCE" w14:textId="77777777" w:rsidR="00F47862" w:rsidRPr="00F47862" w:rsidRDefault="00F47862" w:rsidP="00F47862">
      <w:pPr>
        <w:spacing w:before="240" w:after="240"/>
        <w:rPr>
          <w:rFonts w:asciiTheme="majorHAnsi" w:hAnsiTheme="majorHAnsi" w:cstheme="majorHAnsi"/>
          <w:b/>
          <w:sz w:val="24"/>
          <w:szCs w:val="24"/>
          <w:lang w:val="fr-FR"/>
        </w:rPr>
      </w:pPr>
      <w:r w:rsidRPr="00F47862">
        <w:rPr>
          <w:rFonts w:asciiTheme="majorHAnsi" w:hAnsiTheme="majorHAnsi" w:cstheme="majorHAnsi"/>
          <w:b/>
          <w:sz w:val="24"/>
          <w:szCs w:val="24"/>
          <w:lang w:val="fr-FR"/>
        </w:rPr>
        <w:t xml:space="preserve">Lieu : </w:t>
      </w:r>
      <w:r w:rsidRPr="00F47862">
        <w:rPr>
          <w:rFonts w:asciiTheme="majorHAnsi" w:hAnsiTheme="majorHAnsi" w:cstheme="majorHAnsi"/>
          <w:bCs/>
          <w:sz w:val="24"/>
          <w:szCs w:val="24"/>
          <w:lang w:val="fr-FR"/>
        </w:rPr>
        <w:t xml:space="preserve">All Souls </w:t>
      </w:r>
      <w:proofErr w:type="spellStart"/>
      <w:r w:rsidRPr="00F47862">
        <w:rPr>
          <w:rFonts w:asciiTheme="majorHAnsi" w:hAnsiTheme="majorHAnsi" w:cstheme="majorHAnsi"/>
          <w:bCs/>
          <w:sz w:val="24"/>
          <w:szCs w:val="24"/>
          <w:lang w:val="fr-FR"/>
        </w:rPr>
        <w:t>College</w:t>
      </w:r>
      <w:proofErr w:type="spellEnd"/>
      <w:r w:rsidRPr="00F47862">
        <w:rPr>
          <w:rFonts w:asciiTheme="majorHAnsi" w:hAnsiTheme="majorHAnsi" w:cstheme="majorHAnsi"/>
          <w:bCs/>
          <w:sz w:val="24"/>
          <w:szCs w:val="24"/>
          <w:lang w:val="fr-FR"/>
        </w:rPr>
        <w:t>, Oxford</w:t>
      </w:r>
    </w:p>
    <w:p w14:paraId="7E6B2755" w14:textId="77777777" w:rsidR="00F47862" w:rsidRPr="00F47862" w:rsidRDefault="00F47862" w:rsidP="00F47862">
      <w:pPr>
        <w:spacing w:before="240" w:after="240"/>
        <w:rPr>
          <w:rFonts w:asciiTheme="majorHAnsi" w:hAnsiTheme="majorHAnsi" w:cstheme="majorHAnsi"/>
          <w:bCs/>
          <w:sz w:val="24"/>
          <w:szCs w:val="24"/>
          <w:lang w:val="fr-FR"/>
        </w:rPr>
      </w:pPr>
      <w:r w:rsidRPr="00F47862">
        <w:rPr>
          <w:rFonts w:asciiTheme="majorHAnsi" w:hAnsiTheme="majorHAnsi" w:cstheme="majorHAnsi"/>
          <w:b/>
          <w:sz w:val="24"/>
          <w:szCs w:val="24"/>
          <w:lang w:val="fr-FR"/>
        </w:rPr>
        <w:t xml:space="preserve">Dates : </w:t>
      </w:r>
      <w:r w:rsidRPr="00F47862">
        <w:rPr>
          <w:rFonts w:asciiTheme="majorHAnsi" w:hAnsiTheme="majorHAnsi" w:cstheme="majorHAnsi"/>
          <w:bCs/>
          <w:sz w:val="24"/>
          <w:szCs w:val="24"/>
          <w:lang w:val="fr-FR"/>
        </w:rPr>
        <w:t>15-16 décembre, 2025</w:t>
      </w:r>
    </w:p>
    <w:p w14:paraId="6FD0DD5D" w14:textId="6C6C1B98" w:rsidR="00F47862" w:rsidRPr="00F47862" w:rsidRDefault="00F47862" w:rsidP="00F47862">
      <w:pPr>
        <w:spacing w:before="240" w:after="240"/>
        <w:rPr>
          <w:rFonts w:asciiTheme="majorHAnsi" w:hAnsiTheme="majorHAnsi" w:cstheme="majorHAnsi"/>
          <w:b/>
          <w:sz w:val="24"/>
          <w:szCs w:val="24"/>
          <w:lang w:val="fr-FR"/>
        </w:rPr>
      </w:pPr>
      <w:r>
        <w:rPr>
          <w:rFonts w:asciiTheme="majorHAnsi" w:hAnsiTheme="majorHAnsi" w:cstheme="majorHAnsi"/>
          <w:b/>
          <w:sz w:val="24"/>
          <w:szCs w:val="24"/>
          <w:lang w:val="fr-FR"/>
        </w:rPr>
        <w:t>Frais</w:t>
      </w:r>
      <w:r w:rsidRPr="00F47862">
        <w:rPr>
          <w:rFonts w:asciiTheme="majorHAnsi" w:hAnsiTheme="majorHAnsi" w:cstheme="majorHAnsi"/>
          <w:b/>
          <w:sz w:val="24"/>
          <w:szCs w:val="24"/>
          <w:lang w:val="fr-FR"/>
        </w:rPr>
        <w:t xml:space="preserve"> : </w:t>
      </w:r>
      <w:r w:rsidRPr="00F47862">
        <w:rPr>
          <w:rFonts w:asciiTheme="majorHAnsi" w:hAnsiTheme="majorHAnsi" w:cstheme="majorHAnsi"/>
          <w:bCs/>
          <w:sz w:val="24"/>
          <w:szCs w:val="24"/>
          <w:lang w:val="fr-FR"/>
        </w:rPr>
        <w:t xml:space="preserve">Il n'y a pas de frais d'inscription. Le Centre peut fournir un nombre limité de bourses pour couvrir les frais de voyage et/ou d'hébergement. </w:t>
      </w:r>
    </w:p>
    <w:p w14:paraId="53882012" w14:textId="5B3D2D27" w:rsidR="00F47862" w:rsidRPr="00F47862" w:rsidRDefault="00F47862" w:rsidP="00F47862">
      <w:pPr>
        <w:spacing w:before="240" w:after="240"/>
        <w:rPr>
          <w:rFonts w:asciiTheme="majorHAnsi" w:hAnsiTheme="majorHAnsi" w:cstheme="majorHAnsi"/>
          <w:b/>
          <w:sz w:val="24"/>
          <w:szCs w:val="24"/>
          <w:lang w:val="fr-FR"/>
        </w:rPr>
      </w:pPr>
      <w:r w:rsidRPr="00F47862">
        <w:rPr>
          <w:rFonts w:asciiTheme="majorHAnsi" w:hAnsiTheme="majorHAnsi" w:cstheme="majorHAnsi"/>
          <w:b/>
          <w:sz w:val="24"/>
          <w:szCs w:val="24"/>
          <w:lang w:val="fr-FR"/>
        </w:rPr>
        <w:t>Instructions pour les soumissions :</w:t>
      </w:r>
      <w:r>
        <w:rPr>
          <w:rFonts w:asciiTheme="majorHAnsi" w:hAnsiTheme="majorHAnsi" w:cstheme="majorHAnsi"/>
          <w:b/>
          <w:sz w:val="24"/>
          <w:szCs w:val="24"/>
          <w:lang w:val="fr-FR"/>
        </w:rPr>
        <w:t xml:space="preserve"> </w:t>
      </w:r>
      <w:r w:rsidRPr="00F47862">
        <w:rPr>
          <w:rFonts w:asciiTheme="majorHAnsi" w:hAnsiTheme="majorHAnsi" w:cstheme="majorHAnsi"/>
          <w:bCs/>
          <w:sz w:val="24"/>
          <w:szCs w:val="24"/>
          <w:lang w:val="fr-FR"/>
        </w:rPr>
        <w:t xml:space="preserve">Nous invitons les chercheurs de toutes les disciplines (philosophie, anthropologie, sociologie, histoire, psychologie, droit, théologie et études religieuses, et au-delà) ainsi que les praticiens travaillant dans des contextes pertinents tels que l'enseignement, la psychothérapie, le ministère pastoral, les prisons, les arts visuels, littéraires et performatifs, et autres, à soumettre leurs propositions. </w:t>
      </w:r>
    </w:p>
    <w:p w14:paraId="6C9A5234" w14:textId="77777777" w:rsidR="00F47862" w:rsidRDefault="00F47862" w:rsidP="00F47862">
      <w:pPr>
        <w:rPr>
          <w:rFonts w:asciiTheme="majorHAnsi" w:hAnsiTheme="majorHAnsi" w:cstheme="majorHAnsi"/>
          <w:bCs/>
          <w:sz w:val="24"/>
          <w:szCs w:val="24"/>
          <w:lang w:val="fr-FR"/>
        </w:rPr>
      </w:pPr>
      <w:r w:rsidRPr="00F47862">
        <w:rPr>
          <w:rFonts w:asciiTheme="majorHAnsi" w:hAnsiTheme="majorHAnsi" w:cstheme="majorHAnsi"/>
          <w:bCs/>
          <w:sz w:val="24"/>
          <w:szCs w:val="24"/>
          <w:lang w:val="fr-FR"/>
        </w:rPr>
        <w:t xml:space="preserve">Veuillez soumettre vos propositions via la </w:t>
      </w:r>
      <w:hyperlink r:id="rId7" w:history="1">
        <w:r w:rsidRPr="00F47862">
          <w:rPr>
            <w:rStyle w:val="Hyperlink"/>
            <w:rFonts w:asciiTheme="majorHAnsi" w:hAnsiTheme="majorHAnsi" w:cstheme="majorHAnsi"/>
            <w:bCs/>
            <w:sz w:val="24"/>
            <w:szCs w:val="24"/>
            <w:lang w:val="fr-FR"/>
          </w:rPr>
          <w:t>plateforme en ligne</w:t>
        </w:r>
      </w:hyperlink>
      <w:r w:rsidRPr="00F47862">
        <w:rPr>
          <w:rFonts w:asciiTheme="majorHAnsi" w:hAnsiTheme="majorHAnsi" w:cstheme="majorHAnsi"/>
          <w:bCs/>
          <w:sz w:val="24"/>
          <w:szCs w:val="24"/>
          <w:lang w:val="fr-FR"/>
        </w:rPr>
        <w:t>.</w:t>
      </w:r>
    </w:p>
    <w:p w14:paraId="4936D16B" w14:textId="77777777" w:rsidR="00F47862" w:rsidRPr="00F47862" w:rsidRDefault="00F47862" w:rsidP="00F47862">
      <w:pPr>
        <w:pStyle w:val="ListParagraph"/>
        <w:numPr>
          <w:ilvl w:val="0"/>
          <w:numId w:val="3"/>
        </w:numPr>
        <w:rPr>
          <w:rFonts w:asciiTheme="majorHAnsi" w:hAnsiTheme="majorHAnsi" w:cstheme="majorHAnsi"/>
          <w:bCs/>
          <w:sz w:val="24"/>
          <w:szCs w:val="24"/>
          <w:lang w:val="fr-FR"/>
        </w:rPr>
      </w:pPr>
      <w:r w:rsidRPr="00F47862">
        <w:rPr>
          <w:rFonts w:asciiTheme="majorHAnsi" w:hAnsiTheme="majorHAnsi" w:cstheme="majorHAnsi"/>
          <w:bCs/>
          <w:sz w:val="24"/>
          <w:szCs w:val="24"/>
          <w:lang w:val="fr-FR"/>
        </w:rPr>
        <w:t>Date limite de soumission des propositions de 500 mots : 16 juin 2025</w:t>
      </w:r>
      <w:r w:rsidRPr="00F47862">
        <w:rPr>
          <w:rFonts w:asciiTheme="majorHAnsi" w:hAnsiTheme="majorHAnsi" w:cstheme="majorHAnsi"/>
          <w:bCs/>
          <w:sz w:val="24"/>
          <w:szCs w:val="24"/>
          <w:lang w:val="fr-FR"/>
        </w:rPr>
        <w:t>.</w:t>
      </w:r>
    </w:p>
    <w:p w14:paraId="68BD4393" w14:textId="12D9D115" w:rsidR="00F47862" w:rsidRPr="00F47862" w:rsidRDefault="00F47862" w:rsidP="00F47862">
      <w:pPr>
        <w:pStyle w:val="ListParagraph"/>
        <w:numPr>
          <w:ilvl w:val="0"/>
          <w:numId w:val="3"/>
        </w:numPr>
        <w:spacing w:before="240" w:after="240"/>
        <w:rPr>
          <w:rFonts w:asciiTheme="majorHAnsi" w:hAnsiTheme="majorHAnsi" w:cstheme="majorHAnsi"/>
          <w:bCs/>
          <w:sz w:val="24"/>
          <w:szCs w:val="24"/>
          <w:lang w:val="fr-FR"/>
        </w:rPr>
      </w:pPr>
      <w:r w:rsidRPr="00F47862">
        <w:rPr>
          <w:rFonts w:asciiTheme="majorHAnsi" w:hAnsiTheme="majorHAnsi" w:cstheme="majorHAnsi"/>
          <w:bCs/>
          <w:sz w:val="24"/>
          <w:szCs w:val="24"/>
          <w:lang w:val="fr-FR"/>
        </w:rPr>
        <w:t>Date limite de soumission des articles complets (pour les propositions acceptées) : 8 décembre 2025</w:t>
      </w:r>
    </w:p>
    <w:p w14:paraId="1DBEB492" w14:textId="2F0CDAF0" w:rsidR="00F47862" w:rsidRPr="00F47862" w:rsidRDefault="00F47862" w:rsidP="00F47862">
      <w:pPr>
        <w:rPr>
          <w:rFonts w:asciiTheme="majorHAnsi" w:hAnsiTheme="majorHAnsi" w:cstheme="majorHAnsi"/>
          <w:b/>
          <w:sz w:val="24"/>
          <w:szCs w:val="24"/>
          <w:lang w:val="fr-FR"/>
        </w:rPr>
      </w:pPr>
      <w:r w:rsidRPr="00F47862">
        <w:rPr>
          <w:rFonts w:asciiTheme="majorHAnsi" w:hAnsiTheme="majorHAnsi" w:cstheme="majorHAnsi"/>
          <w:b/>
          <w:sz w:val="24"/>
          <w:szCs w:val="24"/>
          <w:lang w:val="fr-FR"/>
        </w:rPr>
        <w:t>Organisation et comité</w:t>
      </w:r>
      <w:r>
        <w:rPr>
          <w:rFonts w:asciiTheme="majorHAnsi" w:hAnsiTheme="majorHAnsi" w:cstheme="majorHAnsi"/>
          <w:b/>
          <w:sz w:val="24"/>
          <w:szCs w:val="24"/>
          <w:lang w:val="fr-FR"/>
        </w:rPr>
        <w:t xml:space="preserve"> scientifique : </w:t>
      </w:r>
      <w:r w:rsidRPr="00F47862">
        <w:rPr>
          <w:rFonts w:asciiTheme="majorHAnsi" w:hAnsiTheme="majorHAnsi" w:cstheme="majorHAnsi"/>
          <w:bCs/>
          <w:sz w:val="24"/>
          <w:szCs w:val="24"/>
          <w:lang w:val="fr-FR"/>
        </w:rPr>
        <w:t xml:space="preserve">Le symposium est organisé par </w:t>
      </w:r>
      <w:hyperlink r:id="rId8" w:history="1">
        <w:r w:rsidRPr="002318FB">
          <w:rPr>
            <w:rStyle w:val="Hyperlink"/>
            <w:rFonts w:asciiTheme="majorHAnsi" w:hAnsiTheme="majorHAnsi" w:cstheme="majorHAnsi"/>
            <w:bCs/>
            <w:sz w:val="24"/>
            <w:szCs w:val="24"/>
            <w:lang w:val="fr-FR"/>
          </w:rPr>
          <w:t>le Centre d'études sur la métanoïa</w:t>
        </w:r>
      </w:hyperlink>
      <w:r w:rsidRPr="00F47862">
        <w:rPr>
          <w:rFonts w:asciiTheme="majorHAnsi" w:hAnsiTheme="majorHAnsi" w:cstheme="majorHAnsi"/>
          <w:bCs/>
          <w:sz w:val="24"/>
          <w:szCs w:val="24"/>
          <w:lang w:val="fr-FR"/>
        </w:rPr>
        <w:t xml:space="preserve">. Le comité </w:t>
      </w:r>
      <w:r w:rsidRPr="00F47862">
        <w:rPr>
          <w:rFonts w:asciiTheme="majorHAnsi" w:hAnsiTheme="majorHAnsi" w:cstheme="majorHAnsi"/>
          <w:bCs/>
          <w:sz w:val="24"/>
          <w:szCs w:val="24"/>
          <w:lang w:val="fr-FR"/>
        </w:rPr>
        <w:t xml:space="preserve">scientifique </w:t>
      </w:r>
      <w:r w:rsidRPr="00F47862">
        <w:rPr>
          <w:rFonts w:asciiTheme="majorHAnsi" w:hAnsiTheme="majorHAnsi" w:cstheme="majorHAnsi"/>
          <w:bCs/>
          <w:sz w:val="24"/>
          <w:szCs w:val="24"/>
          <w:lang w:val="fr-FR"/>
        </w:rPr>
        <w:t>du symposium est composé de :</w:t>
      </w:r>
    </w:p>
    <w:p w14:paraId="3821FDC3" w14:textId="77777777" w:rsidR="00F47862" w:rsidRPr="00F47862" w:rsidRDefault="00F47862" w:rsidP="00F47862">
      <w:pPr>
        <w:ind w:left="720"/>
        <w:rPr>
          <w:rFonts w:asciiTheme="majorHAnsi" w:hAnsiTheme="majorHAnsi" w:cstheme="majorHAnsi"/>
          <w:bCs/>
          <w:sz w:val="24"/>
          <w:szCs w:val="24"/>
          <w:lang w:val="fr-FR"/>
        </w:rPr>
      </w:pPr>
      <w:r w:rsidRPr="00F47862">
        <w:rPr>
          <w:rFonts w:asciiTheme="majorHAnsi" w:hAnsiTheme="majorHAnsi" w:cstheme="majorHAnsi"/>
          <w:bCs/>
          <w:sz w:val="24"/>
          <w:szCs w:val="24"/>
          <w:lang w:val="fr-FR"/>
        </w:rPr>
        <w:t xml:space="preserve">Pieter </w:t>
      </w:r>
      <w:proofErr w:type="spellStart"/>
      <w:r w:rsidRPr="00F47862">
        <w:rPr>
          <w:rFonts w:asciiTheme="majorHAnsi" w:hAnsiTheme="majorHAnsi" w:cstheme="majorHAnsi"/>
          <w:bCs/>
          <w:sz w:val="24"/>
          <w:szCs w:val="24"/>
          <w:lang w:val="fr-FR"/>
        </w:rPr>
        <w:t>Francois</w:t>
      </w:r>
      <w:proofErr w:type="spellEnd"/>
      <w:r w:rsidRPr="00F47862">
        <w:rPr>
          <w:rFonts w:asciiTheme="majorHAnsi" w:hAnsiTheme="majorHAnsi" w:cstheme="majorHAnsi"/>
          <w:bCs/>
          <w:sz w:val="24"/>
          <w:szCs w:val="24"/>
          <w:lang w:val="fr-FR"/>
        </w:rPr>
        <w:t>, Université d'Oxford</w:t>
      </w:r>
    </w:p>
    <w:p w14:paraId="0B10E893" w14:textId="77777777" w:rsidR="00F47862" w:rsidRPr="00F47862" w:rsidRDefault="00F47862" w:rsidP="00F47862">
      <w:pPr>
        <w:ind w:left="720"/>
        <w:rPr>
          <w:rFonts w:asciiTheme="majorHAnsi" w:hAnsiTheme="majorHAnsi" w:cstheme="majorHAnsi"/>
          <w:bCs/>
          <w:sz w:val="24"/>
          <w:szCs w:val="24"/>
          <w:lang w:val="fr-FR"/>
        </w:rPr>
      </w:pPr>
      <w:r w:rsidRPr="00F47862">
        <w:rPr>
          <w:rFonts w:asciiTheme="majorHAnsi" w:hAnsiTheme="majorHAnsi" w:cstheme="majorHAnsi"/>
          <w:bCs/>
          <w:sz w:val="24"/>
          <w:szCs w:val="24"/>
          <w:lang w:val="fr-FR"/>
        </w:rPr>
        <w:t>Ruth Harris, Université d'Oxford</w:t>
      </w:r>
    </w:p>
    <w:p w14:paraId="22B714DD" w14:textId="77777777" w:rsidR="00F47862" w:rsidRPr="00F47862" w:rsidRDefault="00F47862" w:rsidP="00F47862">
      <w:pPr>
        <w:ind w:left="720"/>
        <w:rPr>
          <w:rFonts w:asciiTheme="majorHAnsi" w:hAnsiTheme="majorHAnsi" w:cstheme="majorHAnsi"/>
          <w:bCs/>
          <w:sz w:val="24"/>
          <w:szCs w:val="24"/>
          <w:lang w:val="fr-FR"/>
        </w:rPr>
      </w:pPr>
      <w:r w:rsidRPr="00F47862">
        <w:rPr>
          <w:rFonts w:asciiTheme="majorHAnsi" w:hAnsiTheme="majorHAnsi" w:cstheme="majorHAnsi"/>
          <w:bCs/>
          <w:sz w:val="24"/>
          <w:szCs w:val="24"/>
          <w:lang w:val="fr-FR"/>
        </w:rPr>
        <w:t>Alexis de La Ferrière, Université de Londres</w:t>
      </w:r>
    </w:p>
    <w:p w14:paraId="56D93282" w14:textId="77777777" w:rsidR="00F47862" w:rsidRDefault="00F47862" w:rsidP="00F47862">
      <w:pPr>
        <w:ind w:left="720"/>
        <w:rPr>
          <w:rFonts w:asciiTheme="majorHAnsi" w:hAnsiTheme="majorHAnsi" w:cstheme="majorHAnsi"/>
          <w:bCs/>
          <w:sz w:val="24"/>
          <w:szCs w:val="24"/>
          <w:lang w:val="fr-FR"/>
        </w:rPr>
      </w:pPr>
      <w:r w:rsidRPr="00F47862">
        <w:rPr>
          <w:rFonts w:asciiTheme="majorHAnsi" w:hAnsiTheme="majorHAnsi" w:cstheme="majorHAnsi"/>
          <w:bCs/>
          <w:sz w:val="24"/>
          <w:szCs w:val="24"/>
          <w:lang w:val="fr-FR"/>
        </w:rPr>
        <w:t>Charles Mercier, Université de Bordeaux</w:t>
      </w:r>
    </w:p>
    <w:p w14:paraId="2188324C" w14:textId="60C6C407" w:rsidR="00F47862" w:rsidRDefault="00F47862" w:rsidP="00F47862">
      <w:pPr>
        <w:ind w:left="720"/>
        <w:rPr>
          <w:rFonts w:asciiTheme="majorHAnsi" w:hAnsiTheme="majorHAnsi" w:cstheme="majorHAnsi"/>
          <w:bCs/>
          <w:sz w:val="24"/>
          <w:szCs w:val="24"/>
          <w:lang w:val="fr-FR"/>
        </w:rPr>
      </w:pPr>
      <w:r w:rsidRPr="00F47862">
        <w:rPr>
          <w:rFonts w:asciiTheme="majorHAnsi" w:hAnsiTheme="majorHAnsi" w:cstheme="majorHAnsi"/>
          <w:bCs/>
          <w:sz w:val="24"/>
          <w:szCs w:val="24"/>
          <w:lang w:val="fr-FR"/>
        </w:rPr>
        <w:t>Gauthier Simon, Université de Bordeaux</w:t>
      </w:r>
    </w:p>
    <w:p w14:paraId="13B2B9F0" w14:textId="77777777" w:rsidR="00F26843" w:rsidRDefault="00F26843" w:rsidP="00F26843">
      <w:pPr>
        <w:rPr>
          <w:rFonts w:asciiTheme="majorHAnsi" w:hAnsiTheme="majorHAnsi" w:cstheme="majorHAnsi"/>
          <w:bCs/>
          <w:sz w:val="24"/>
          <w:szCs w:val="24"/>
          <w:lang w:val="fr-FR"/>
        </w:rPr>
      </w:pPr>
    </w:p>
    <w:p w14:paraId="2759DE86" w14:textId="2BF139A1" w:rsidR="00F26843" w:rsidRDefault="00F26843" w:rsidP="00F26843">
      <w:pPr>
        <w:rPr>
          <w:rFonts w:asciiTheme="majorHAnsi" w:hAnsiTheme="majorHAnsi" w:cstheme="majorHAnsi"/>
          <w:bCs/>
          <w:sz w:val="24"/>
          <w:szCs w:val="24"/>
          <w:lang w:val="fr-FR"/>
        </w:rPr>
      </w:pPr>
      <w:r w:rsidRPr="00F26843">
        <w:rPr>
          <w:rFonts w:asciiTheme="majorHAnsi" w:hAnsiTheme="majorHAnsi" w:cstheme="majorHAnsi"/>
          <w:bCs/>
          <w:sz w:val="24"/>
          <w:szCs w:val="24"/>
          <w:lang w:val="fr-FR"/>
        </w:rPr>
        <w:t xml:space="preserve">Pour toute question, </w:t>
      </w:r>
      <w:proofErr w:type="spellStart"/>
      <w:r w:rsidRPr="00F26843">
        <w:rPr>
          <w:rFonts w:asciiTheme="majorHAnsi" w:hAnsiTheme="majorHAnsi" w:cstheme="majorHAnsi"/>
          <w:bCs/>
          <w:sz w:val="24"/>
          <w:szCs w:val="24"/>
          <w:lang w:val="fr-FR"/>
        </w:rPr>
        <w:t>veuillez vous</w:t>
      </w:r>
      <w:proofErr w:type="spellEnd"/>
      <w:r w:rsidRPr="00F26843">
        <w:rPr>
          <w:rFonts w:asciiTheme="majorHAnsi" w:hAnsiTheme="majorHAnsi" w:cstheme="majorHAnsi"/>
          <w:bCs/>
          <w:sz w:val="24"/>
          <w:szCs w:val="24"/>
          <w:lang w:val="fr-FR"/>
        </w:rPr>
        <w:t xml:space="preserve"> adresser à </w:t>
      </w:r>
      <w:hyperlink r:id="rId9" w:history="1">
        <w:r w:rsidRPr="004E2BED">
          <w:rPr>
            <w:rStyle w:val="Hyperlink"/>
            <w:rFonts w:asciiTheme="majorHAnsi" w:hAnsiTheme="majorHAnsi" w:cstheme="majorHAnsi"/>
            <w:bCs/>
            <w:sz w:val="24"/>
            <w:szCs w:val="24"/>
            <w:lang w:val="fr-FR"/>
          </w:rPr>
          <w:t>alexis.delaferriere@gmail.com</w:t>
        </w:r>
      </w:hyperlink>
    </w:p>
    <w:p w14:paraId="445B2CAA" w14:textId="77777777" w:rsidR="00F47862" w:rsidRDefault="00F47862">
      <w:pPr>
        <w:rPr>
          <w:rFonts w:asciiTheme="majorHAnsi" w:hAnsiTheme="majorHAnsi" w:cstheme="majorHAnsi"/>
          <w:bCs/>
          <w:sz w:val="24"/>
          <w:szCs w:val="24"/>
          <w:lang w:val="fr-FR"/>
        </w:rPr>
      </w:pPr>
      <w:r>
        <w:rPr>
          <w:rFonts w:asciiTheme="majorHAnsi" w:hAnsiTheme="majorHAnsi" w:cstheme="majorHAnsi"/>
          <w:bCs/>
          <w:sz w:val="24"/>
          <w:szCs w:val="24"/>
          <w:lang w:val="fr-FR"/>
        </w:rPr>
        <w:br w:type="page"/>
      </w:r>
    </w:p>
    <w:p w14:paraId="0685309E" w14:textId="53321FF6" w:rsidR="006C2BFB" w:rsidRPr="00F47862" w:rsidRDefault="00F47862" w:rsidP="00F47862">
      <w:pPr>
        <w:spacing w:before="240" w:after="240"/>
        <w:rPr>
          <w:rFonts w:asciiTheme="majorHAnsi" w:hAnsiTheme="majorHAnsi" w:cstheme="majorHAnsi"/>
          <w:sz w:val="24"/>
          <w:szCs w:val="24"/>
          <w:lang w:val="fr-FR"/>
        </w:rPr>
      </w:pPr>
      <w:r>
        <w:rPr>
          <w:rFonts w:asciiTheme="majorHAnsi" w:hAnsiTheme="majorHAnsi" w:cstheme="majorHAnsi"/>
          <w:b/>
          <w:sz w:val="24"/>
          <w:szCs w:val="24"/>
          <w:lang w:val="fr-FR"/>
        </w:rPr>
        <w:lastRenderedPageBreak/>
        <w:t xml:space="preserve">Pourquoi l’étude de </w:t>
      </w:r>
      <w:r w:rsidRPr="00F47862">
        <w:rPr>
          <w:rFonts w:asciiTheme="majorHAnsi" w:hAnsiTheme="majorHAnsi" w:cstheme="majorHAnsi"/>
          <w:b/>
          <w:sz w:val="24"/>
          <w:szCs w:val="24"/>
          <w:lang w:val="fr-FR"/>
        </w:rPr>
        <w:t>la métanoïa</w:t>
      </w:r>
      <w:r>
        <w:rPr>
          <w:rFonts w:asciiTheme="majorHAnsi" w:hAnsiTheme="majorHAnsi" w:cstheme="majorHAnsi"/>
          <w:b/>
          <w:sz w:val="24"/>
          <w:szCs w:val="24"/>
          <w:lang w:val="fr-FR"/>
        </w:rPr>
        <w:t> ?</w:t>
      </w:r>
    </w:p>
    <w:p w14:paraId="4B907B15" w14:textId="6E4007CD" w:rsidR="00F47862" w:rsidRPr="00A67728" w:rsidRDefault="00F47862" w:rsidP="002318FB">
      <w:pPr>
        <w:spacing w:after="160" w:line="259" w:lineRule="auto"/>
        <w:jc w:val="both"/>
        <w:rPr>
          <w:rFonts w:asciiTheme="majorHAnsi" w:hAnsiTheme="majorHAnsi" w:cstheme="majorHAnsi"/>
          <w:lang w:val="fr-FR"/>
        </w:rPr>
      </w:pPr>
      <w:r w:rsidRPr="00A67728">
        <w:rPr>
          <w:rFonts w:asciiTheme="majorHAnsi" w:hAnsiTheme="majorHAnsi" w:cstheme="majorHAnsi"/>
          <w:lang w:val="fr-FR"/>
        </w:rPr>
        <w:t xml:space="preserve">Selon Pierre Hadot (1968), "l'idée de conversion représente l'une des notions constitutives de la conscience occidentale. En effet, on peut représenter toute l'histoire de l'Occident comme un effort incessant de renouvellement par le perfectionnement des techniques de conversion, c'est-à-dire des techniques destinées à transformer la réalité humaine". L'évolution du sens du mot </w:t>
      </w:r>
      <w:r w:rsidR="00EA171C" w:rsidRPr="00A67728">
        <w:rPr>
          <w:rFonts w:asciiTheme="majorHAnsi" w:hAnsiTheme="majorHAnsi" w:cstheme="majorHAnsi"/>
          <w:lang w:val="fr-FR"/>
        </w:rPr>
        <w:t>métanoïa</w:t>
      </w:r>
      <w:r w:rsidRPr="00A67728">
        <w:rPr>
          <w:rFonts w:asciiTheme="majorHAnsi" w:hAnsiTheme="majorHAnsi" w:cstheme="majorHAnsi"/>
          <w:lang w:val="fr-FR"/>
        </w:rPr>
        <w:t xml:space="preserve"> retrace le développement progressif de cette notion centrale au cours des siècles. Les rhétoriciens de la Grèce classique parlaient de métanoïa pour décrire une figure de rhétorique persuasive dans laquelle l'orateur reprend une déclaration antérieure et la remplace par une nouvelle pour renforcer son point de vue. Ce faisant, l'orateur change d'avis, mais le changement se produit dans ses mots plutôt que dans son </w:t>
      </w:r>
      <w:r w:rsidRPr="00A67728">
        <w:rPr>
          <w:rFonts w:asciiTheme="majorHAnsi" w:hAnsiTheme="majorHAnsi" w:cstheme="majorHAnsi"/>
          <w:i/>
          <w:iCs/>
          <w:lang w:val="fr-FR"/>
        </w:rPr>
        <w:t xml:space="preserve">forum </w:t>
      </w:r>
      <w:proofErr w:type="spellStart"/>
      <w:r w:rsidRPr="00A67728">
        <w:rPr>
          <w:rFonts w:asciiTheme="majorHAnsi" w:hAnsiTheme="majorHAnsi" w:cstheme="majorHAnsi"/>
          <w:i/>
          <w:iCs/>
          <w:lang w:val="fr-FR"/>
        </w:rPr>
        <w:t>internum</w:t>
      </w:r>
      <w:proofErr w:type="spellEnd"/>
      <w:r w:rsidRPr="00A67728">
        <w:rPr>
          <w:rFonts w:asciiTheme="majorHAnsi" w:hAnsiTheme="majorHAnsi" w:cstheme="majorHAnsi"/>
          <w:lang w:val="fr-FR"/>
        </w:rPr>
        <w:t xml:space="preserve"> - néanmoins, s'il est efficace, il peut provoquer un changement chez l'auditeur.</w:t>
      </w:r>
    </w:p>
    <w:p w14:paraId="00CEA40F" w14:textId="77777777" w:rsidR="00F47862" w:rsidRPr="00A67728" w:rsidRDefault="00F47862" w:rsidP="002318FB">
      <w:pPr>
        <w:spacing w:after="160" w:line="259" w:lineRule="auto"/>
        <w:jc w:val="both"/>
        <w:rPr>
          <w:rFonts w:asciiTheme="majorHAnsi" w:hAnsiTheme="majorHAnsi" w:cstheme="majorHAnsi"/>
          <w:lang w:val="fr-FR"/>
        </w:rPr>
      </w:pPr>
      <w:r w:rsidRPr="00A67728">
        <w:rPr>
          <w:rFonts w:asciiTheme="majorHAnsi" w:hAnsiTheme="majorHAnsi" w:cstheme="majorHAnsi"/>
          <w:lang w:val="fr-FR"/>
        </w:rPr>
        <w:t>L'avènement du christianisme a mis l'accent sur l'intériorité de l'individu, l'impératif éthique de la conversion personnelle et l'idée centrale de la renaissance par le biais d'un changement d'ethos. Sous l'influence chrétienne, la métanoïa en est venue à signifier un acte de substitution de « l'ancien être pécheur par une nouvelle identité personnelle - un ethos qui se définit par une relation pénitente avec soi-même » (</w:t>
      </w:r>
      <w:proofErr w:type="spellStart"/>
      <w:r w:rsidRPr="00A67728">
        <w:rPr>
          <w:rFonts w:asciiTheme="majorHAnsi" w:hAnsiTheme="majorHAnsi" w:cstheme="majorHAnsi"/>
          <w:lang w:val="fr-FR"/>
        </w:rPr>
        <w:t>Ellwanger</w:t>
      </w:r>
      <w:proofErr w:type="spellEnd"/>
      <w:r w:rsidRPr="00A67728">
        <w:rPr>
          <w:rFonts w:asciiTheme="majorHAnsi" w:hAnsiTheme="majorHAnsi" w:cstheme="majorHAnsi"/>
          <w:lang w:val="fr-FR"/>
        </w:rPr>
        <w:t>, 2020). Comment une telle chose est-elle possible ? C'est bien sûr la question que se pose Nicodème dans l'Évangile de Jean lorsque Jésus lui dit qu'une personne doit « naître de nouveau ». Cette question continue de nous animer aujourd'hui, que nous la formulions ou non en termes ouvertement chrétiens.</w:t>
      </w:r>
    </w:p>
    <w:p w14:paraId="1278753F" w14:textId="77777777" w:rsidR="00F47862" w:rsidRPr="00A67728" w:rsidRDefault="00F47862" w:rsidP="002318FB">
      <w:pPr>
        <w:spacing w:after="160" w:line="259" w:lineRule="auto"/>
        <w:jc w:val="both"/>
        <w:rPr>
          <w:rFonts w:asciiTheme="majorHAnsi" w:hAnsiTheme="majorHAnsi" w:cstheme="majorHAnsi"/>
          <w:lang w:val="fr-FR"/>
        </w:rPr>
      </w:pPr>
      <w:r w:rsidRPr="00A67728">
        <w:rPr>
          <w:rFonts w:asciiTheme="majorHAnsi" w:hAnsiTheme="majorHAnsi" w:cstheme="majorHAnsi"/>
          <w:lang w:val="fr-FR"/>
        </w:rPr>
        <w:t xml:space="preserve">Le processus de transformation personnelle radicale peut être observé dans divers contextes, tels que la conversion religieuse et politique, le changement idéologique, la </w:t>
      </w:r>
      <w:proofErr w:type="spellStart"/>
      <w:r w:rsidRPr="00A67728">
        <w:rPr>
          <w:rFonts w:asciiTheme="majorHAnsi" w:hAnsiTheme="majorHAnsi" w:cstheme="majorHAnsi"/>
          <w:lang w:val="fr-FR"/>
        </w:rPr>
        <w:t>désistance</w:t>
      </w:r>
      <w:proofErr w:type="spellEnd"/>
      <w:r w:rsidRPr="00A67728">
        <w:rPr>
          <w:rFonts w:asciiTheme="majorHAnsi" w:hAnsiTheme="majorHAnsi" w:cstheme="majorHAnsi"/>
          <w:lang w:val="fr-FR"/>
        </w:rPr>
        <w:t xml:space="preserve"> criminelle et la radicalisation. Ces processus impliquent des interactions complexes entre des facteurs psychologiques et spirituels internes et des facteurs sociaux et environnementaux externes. Par exemple, les travaux sur la transformation cognitive et émotionnelle et la construction du sens (</w:t>
      </w:r>
      <w:proofErr w:type="spellStart"/>
      <w:r w:rsidRPr="00A67728">
        <w:rPr>
          <w:rFonts w:asciiTheme="majorHAnsi" w:hAnsiTheme="majorHAnsi" w:cstheme="majorHAnsi"/>
          <w:lang w:val="fr-FR"/>
        </w:rPr>
        <w:t>Garcet</w:t>
      </w:r>
      <w:proofErr w:type="spellEnd"/>
      <w:r w:rsidRPr="00A67728">
        <w:rPr>
          <w:rFonts w:asciiTheme="majorHAnsi" w:hAnsiTheme="majorHAnsi" w:cstheme="majorHAnsi"/>
          <w:lang w:val="fr-FR"/>
        </w:rPr>
        <w:t>, 2021) montrent comment les individus adoptent des croyances radicales ou s'engagent dans des mouvements extrémistes, souvent motivés par des incertitudes personnelles et des injustices perçues (</w:t>
      </w:r>
      <w:proofErr w:type="spellStart"/>
      <w:r w:rsidRPr="00A67728">
        <w:rPr>
          <w:rFonts w:asciiTheme="majorHAnsi" w:hAnsiTheme="majorHAnsi" w:cstheme="majorHAnsi"/>
          <w:lang w:val="fr-FR"/>
        </w:rPr>
        <w:t>Doosje</w:t>
      </w:r>
      <w:proofErr w:type="spellEnd"/>
      <w:r w:rsidRPr="00A67728">
        <w:rPr>
          <w:rFonts w:asciiTheme="majorHAnsi" w:hAnsiTheme="majorHAnsi" w:cstheme="majorHAnsi"/>
          <w:lang w:val="fr-FR"/>
        </w:rPr>
        <w:t xml:space="preserve"> et al., 2013). Les expériences transformatrices peuvent modifier profondément les connaissances, les valeurs et les perspectives d'un individu (</w:t>
      </w:r>
      <w:proofErr w:type="spellStart"/>
      <w:r w:rsidRPr="00A67728">
        <w:rPr>
          <w:rFonts w:asciiTheme="majorHAnsi" w:hAnsiTheme="majorHAnsi" w:cstheme="majorHAnsi"/>
          <w:lang w:val="fr-FR"/>
        </w:rPr>
        <w:t>Arvan</w:t>
      </w:r>
      <w:proofErr w:type="spellEnd"/>
      <w:r w:rsidRPr="00A67728">
        <w:rPr>
          <w:rFonts w:asciiTheme="majorHAnsi" w:hAnsiTheme="majorHAnsi" w:cstheme="majorHAnsi"/>
          <w:lang w:val="fr-FR"/>
        </w:rPr>
        <w:t xml:space="preserve">, 2020 ; </w:t>
      </w:r>
      <w:proofErr w:type="spellStart"/>
      <w:r w:rsidRPr="00A67728">
        <w:rPr>
          <w:rFonts w:asciiTheme="majorHAnsi" w:hAnsiTheme="majorHAnsi" w:cstheme="majorHAnsi"/>
          <w:lang w:val="fr-FR"/>
        </w:rPr>
        <w:t>Brieley</w:t>
      </w:r>
      <w:proofErr w:type="spellEnd"/>
      <w:r w:rsidRPr="00A67728">
        <w:rPr>
          <w:rFonts w:asciiTheme="majorHAnsi" w:hAnsiTheme="majorHAnsi" w:cstheme="majorHAnsi"/>
          <w:lang w:val="fr-FR"/>
        </w:rPr>
        <w:t>, 2023). La recherche sur la transformation personnelle et la métanoïa soulève également des questions sur la notion de « vrai moi » qui pourrait être découvert par une pratique spirituelle délibérée (</w:t>
      </w:r>
      <w:proofErr w:type="spellStart"/>
      <w:r w:rsidRPr="00A67728">
        <w:rPr>
          <w:rFonts w:asciiTheme="majorHAnsi" w:hAnsiTheme="majorHAnsi" w:cstheme="majorHAnsi"/>
          <w:lang w:val="fr-FR"/>
        </w:rPr>
        <w:t>Nouwen</w:t>
      </w:r>
      <w:proofErr w:type="spellEnd"/>
      <w:r w:rsidRPr="00A67728">
        <w:rPr>
          <w:rFonts w:asciiTheme="majorHAnsi" w:hAnsiTheme="majorHAnsi" w:cstheme="majorHAnsi"/>
          <w:lang w:val="fr-FR"/>
        </w:rPr>
        <w:t xml:space="preserve">, 1991) ou par les étapes de l'individuation (Jung, 1951) ou de l'accomplissement personnel (Rogers, 1961 ; Maslow, 1962). D'autres se sont interrogés sur les conditions dans lesquelles on peut dire que l'identification personnelle persiste à travers le changement (Locke, 1690 ; </w:t>
      </w:r>
      <w:proofErr w:type="spellStart"/>
      <w:r w:rsidRPr="00A67728">
        <w:rPr>
          <w:rFonts w:asciiTheme="majorHAnsi" w:hAnsiTheme="majorHAnsi" w:cstheme="majorHAnsi"/>
          <w:lang w:val="fr-FR"/>
        </w:rPr>
        <w:t>Parfitt</w:t>
      </w:r>
      <w:proofErr w:type="spellEnd"/>
      <w:r w:rsidRPr="00A67728">
        <w:rPr>
          <w:rFonts w:asciiTheme="majorHAnsi" w:hAnsiTheme="majorHAnsi" w:cstheme="majorHAnsi"/>
          <w:lang w:val="fr-FR"/>
        </w:rPr>
        <w:t>, 1984).</w:t>
      </w:r>
    </w:p>
    <w:p w14:paraId="645514A9" w14:textId="77777777" w:rsidR="00F47862" w:rsidRPr="00F47862"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À l'échelle collective, les transformations radicales englobent des phénomènes tels que la transformation chrétienne de l'Europe (Holland, 2019), la révolution culturelle en Chine (Jiang, 1997 ; </w:t>
      </w:r>
      <w:proofErr w:type="spellStart"/>
      <w:r w:rsidRPr="00F47862">
        <w:rPr>
          <w:rFonts w:asciiTheme="majorHAnsi" w:hAnsiTheme="majorHAnsi" w:cstheme="majorHAnsi"/>
          <w:lang w:val="fr-FR"/>
        </w:rPr>
        <w:t>MacFarquhar</w:t>
      </w:r>
      <w:proofErr w:type="spellEnd"/>
      <w:r w:rsidRPr="00F47862">
        <w:rPr>
          <w:rFonts w:asciiTheme="majorHAnsi" w:hAnsiTheme="majorHAnsi" w:cstheme="majorHAnsi"/>
          <w:lang w:val="fr-FR"/>
        </w:rPr>
        <w:t xml:space="preserve">, R. &amp; </w:t>
      </w:r>
      <w:proofErr w:type="spellStart"/>
      <w:r w:rsidRPr="00F47862">
        <w:rPr>
          <w:rFonts w:asciiTheme="majorHAnsi" w:hAnsiTheme="majorHAnsi" w:cstheme="majorHAnsi"/>
          <w:lang w:val="fr-FR"/>
        </w:rPr>
        <w:t>Schoenhals</w:t>
      </w:r>
      <w:proofErr w:type="spellEnd"/>
      <w:r w:rsidRPr="00F47862">
        <w:rPr>
          <w:rFonts w:asciiTheme="majorHAnsi" w:hAnsiTheme="majorHAnsi" w:cstheme="majorHAnsi"/>
          <w:lang w:val="fr-FR"/>
        </w:rPr>
        <w:t>, 2006) ou la révolution culturelle nazie (</w:t>
      </w:r>
      <w:proofErr w:type="spellStart"/>
      <w:r w:rsidRPr="00F47862">
        <w:rPr>
          <w:rFonts w:asciiTheme="majorHAnsi" w:hAnsiTheme="majorHAnsi" w:cstheme="majorHAnsi"/>
          <w:lang w:val="fr-FR"/>
        </w:rPr>
        <w:t>Chapoutot</w:t>
      </w:r>
      <w:proofErr w:type="spellEnd"/>
      <w:r w:rsidRPr="00F47862">
        <w:rPr>
          <w:rFonts w:asciiTheme="majorHAnsi" w:hAnsiTheme="majorHAnsi" w:cstheme="majorHAnsi"/>
          <w:lang w:val="fr-FR"/>
        </w:rPr>
        <w:t>, 2017). Ces mouvements révolutionnaires montrent comment des transformations sociales radicales peuvent redéfinir les normes et les pratiques culturelles, affectant de manière permanente les structures sociales et les attitudes collectives (</w:t>
      </w:r>
      <w:proofErr w:type="spellStart"/>
      <w:r w:rsidRPr="00F47862">
        <w:rPr>
          <w:rFonts w:asciiTheme="majorHAnsi" w:hAnsiTheme="majorHAnsi" w:cstheme="majorHAnsi"/>
          <w:lang w:val="fr-FR"/>
        </w:rPr>
        <w:t>Drury</w:t>
      </w:r>
      <w:proofErr w:type="spellEnd"/>
      <w:r w:rsidRPr="00F47862">
        <w:rPr>
          <w:rFonts w:asciiTheme="majorHAnsi" w:hAnsiTheme="majorHAnsi" w:cstheme="majorHAnsi"/>
          <w:lang w:val="fr-FR"/>
        </w:rPr>
        <w:t xml:space="preserve"> &amp; Reicher, 2000). Ces moments de rupture sont souvent associés à l'idée de « la naissance de l'homme nouveau » dans les répertoires socialiste (Marx &amp; Engels, 1845 ; </w:t>
      </w:r>
      <w:proofErr w:type="spellStart"/>
      <w:r w:rsidRPr="00F47862">
        <w:rPr>
          <w:rFonts w:asciiTheme="majorHAnsi" w:hAnsiTheme="majorHAnsi" w:cstheme="majorHAnsi"/>
          <w:lang w:val="fr-FR"/>
        </w:rPr>
        <w:t>Trotsky</w:t>
      </w:r>
      <w:proofErr w:type="spellEnd"/>
      <w:r w:rsidRPr="00F47862">
        <w:rPr>
          <w:rFonts w:asciiTheme="majorHAnsi" w:hAnsiTheme="majorHAnsi" w:cstheme="majorHAnsi"/>
          <w:lang w:val="fr-FR"/>
        </w:rPr>
        <w:t xml:space="preserve">, 1937 ; Zedong, 1940), fasciste (Gentile, 1916) et nazi (Rosenberg, 1930), décrivant soit un changement transformateur chez les personnes vivantes, soit un changement générationnel sismique dans les normes et les attitudes. Parallèlement, certains historiens révisionnistes ont contesté l'identification des révolutions à un </w:t>
      </w:r>
      <w:r w:rsidRPr="00F47862">
        <w:rPr>
          <w:rFonts w:asciiTheme="majorHAnsi" w:hAnsiTheme="majorHAnsi" w:cstheme="majorHAnsi"/>
          <w:lang w:val="fr-FR"/>
        </w:rPr>
        <w:lastRenderedPageBreak/>
        <w:t>changement radical, soulignant plutôt la dynamique de l'inertie sociale et de la continuité dans le temps (Furet, 1978 ; Doyle, 1980).</w:t>
      </w:r>
    </w:p>
    <w:p w14:paraId="6D121C50" w14:textId="3660E4E8" w:rsidR="00ED3B2A" w:rsidRPr="002318FB" w:rsidRDefault="00ED3B2A" w:rsidP="002318FB">
      <w:pPr>
        <w:jc w:val="both"/>
        <w:rPr>
          <w:rFonts w:asciiTheme="majorHAnsi" w:hAnsiTheme="majorHAnsi" w:cstheme="majorHAnsi"/>
          <w:lang w:val="fr-FR"/>
        </w:rPr>
      </w:pPr>
    </w:p>
    <w:p w14:paraId="53650EA3" w14:textId="16E10FCB" w:rsidR="00F47862" w:rsidRPr="002318FB"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Dans le but de développer et de synthétiser ces diverses lignes de recherche, le symposium </w:t>
      </w:r>
      <w:r w:rsidR="002318FB" w:rsidRPr="00F47862">
        <w:rPr>
          <w:rFonts w:asciiTheme="majorHAnsi" w:hAnsiTheme="majorHAnsi" w:cstheme="majorHAnsi"/>
          <w:lang w:val="fr-FR"/>
        </w:rPr>
        <w:t>Métanoïa</w:t>
      </w:r>
      <w:r w:rsidRPr="00F47862">
        <w:rPr>
          <w:rFonts w:asciiTheme="majorHAnsi" w:hAnsiTheme="majorHAnsi" w:cstheme="majorHAnsi"/>
          <w:lang w:val="fr-FR"/>
        </w:rPr>
        <w:t xml:space="preserve"> de cette année explorera deux thèmes principaux détaillés ci-dessous.</w:t>
      </w:r>
    </w:p>
    <w:p w14:paraId="2DDE38F0" w14:textId="77777777" w:rsidR="00F47862" w:rsidRPr="00F47862" w:rsidRDefault="00F47862" w:rsidP="002318FB">
      <w:pPr>
        <w:jc w:val="both"/>
        <w:rPr>
          <w:rFonts w:asciiTheme="majorHAnsi" w:hAnsiTheme="majorHAnsi" w:cstheme="majorHAnsi"/>
          <w:lang w:val="fr-FR"/>
        </w:rPr>
      </w:pPr>
    </w:p>
    <w:p w14:paraId="66EF661E" w14:textId="77777777" w:rsidR="00F47862" w:rsidRPr="002318FB" w:rsidRDefault="00F47862" w:rsidP="00F47862">
      <w:pPr>
        <w:rPr>
          <w:rFonts w:asciiTheme="majorHAnsi" w:hAnsiTheme="majorHAnsi" w:cstheme="majorHAnsi"/>
          <w:b/>
          <w:bCs/>
          <w:sz w:val="28"/>
          <w:szCs w:val="28"/>
          <w:lang w:val="fr-FR"/>
        </w:rPr>
      </w:pPr>
      <w:r w:rsidRPr="00F47862">
        <w:rPr>
          <w:rFonts w:asciiTheme="majorHAnsi" w:hAnsiTheme="majorHAnsi" w:cstheme="majorHAnsi"/>
          <w:b/>
          <w:bCs/>
          <w:sz w:val="28"/>
          <w:szCs w:val="28"/>
          <w:lang w:val="fr-FR"/>
        </w:rPr>
        <w:t>Thème 1 : L'analogie religieuse de la conversion dans des contextes non religieux</w:t>
      </w:r>
    </w:p>
    <w:p w14:paraId="12D8E34A" w14:textId="77777777" w:rsidR="00F47862" w:rsidRPr="00F47862" w:rsidRDefault="00F47862" w:rsidP="00F47862">
      <w:pPr>
        <w:rPr>
          <w:rFonts w:asciiTheme="majorHAnsi" w:hAnsiTheme="majorHAnsi" w:cstheme="majorHAnsi"/>
          <w:sz w:val="24"/>
          <w:szCs w:val="24"/>
          <w:lang w:val="fr-FR"/>
        </w:rPr>
      </w:pPr>
    </w:p>
    <w:p w14:paraId="453F5D26" w14:textId="4C12B734" w:rsidR="00F47862"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Les métaphores religieuses ont longtemps hanté les sciences sociales et humaines, de la description par Marx du capitalisme comme une forme de religion totémique primitive (1867) à l'analyse par Yuri </w:t>
      </w:r>
      <w:proofErr w:type="spellStart"/>
      <w:r w:rsidRPr="00F47862">
        <w:rPr>
          <w:rFonts w:asciiTheme="majorHAnsi" w:hAnsiTheme="majorHAnsi" w:cstheme="majorHAnsi"/>
          <w:lang w:val="fr-FR"/>
        </w:rPr>
        <w:t>Slezkine</w:t>
      </w:r>
      <w:proofErr w:type="spellEnd"/>
      <w:r w:rsidRPr="00F47862">
        <w:rPr>
          <w:rFonts w:asciiTheme="majorHAnsi" w:hAnsiTheme="majorHAnsi" w:cstheme="majorHAnsi"/>
          <w:lang w:val="fr-FR"/>
        </w:rPr>
        <w:t xml:space="preserve"> de la « ferveur religieuse » des révolutionnaires communistes (2017). C'est également vrai dans les domaines de la politique et des médias, des deux côtés du discours politique ; par exemple, les commentateurs de droite ont utilisé des analogies religieuses pour délégitimer le mouvement « </w:t>
      </w:r>
      <w:proofErr w:type="spellStart"/>
      <w:r w:rsidRPr="00F47862">
        <w:rPr>
          <w:rFonts w:asciiTheme="majorHAnsi" w:hAnsiTheme="majorHAnsi" w:cstheme="majorHAnsi"/>
          <w:lang w:val="fr-FR"/>
        </w:rPr>
        <w:t>woke</w:t>
      </w:r>
      <w:proofErr w:type="spellEnd"/>
      <w:r w:rsidRPr="00F47862">
        <w:rPr>
          <w:rFonts w:asciiTheme="majorHAnsi" w:hAnsiTheme="majorHAnsi" w:cstheme="majorHAnsi"/>
          <w:lang w:val="fr-FR"/>
        </w:rPr>
        <w:t xml:space="preserve"> » (Dejean, 2022) ou les préoccupations climatiques (Woods et al. 2012), tandis que ceux de gauche ont décrit le néolibéralisme comme une religion (</w:t>
      </w:r>
      <w:proofErr w:type="spellStart"/>
      <w:r w:rsidRPr="00F47862">
        <w:rPr>
          <w:rFonts w:asciiTheme="majorHAnsi" w:hAnsiTheme="majorHAnsi" w:cstheme="majorHAnsi"/>
          <w:lang w:val="fr-FR"/>
        </w:rPr>
        <w:t>Mavelli</w:t>
      </w:r>
      <w:proofErr w:type="spellEnd"/>
      <w:r w:rsidRPr="00F47862">
        <w:rPr>
          <w:rFonts w:asciiTheme="majorHAnsi" w:hAnsiTheme="majorHAnsi" w:cstheme="majorHAnsi"/>
          <w:lang w:val="fr-FR"/>
        </w:rPr>
        <w:t>, 2019), ainsi que les « paniques » de droite comme des « chasses aux sorcières » contre des « folk-</w:t>
      </w:r>
      <w:proofErr w:type="spellStart"/>
      <w:r w:rsidRPr="00F47862">
        <w:rPr>
          <w:rFonts w:asciiTheme="majorHAnsi" w:hAnsiTheme="majorHAnsi" w:cstheme="majorHAnsi"/>
          <w:lang w:val="fr-FR"/>
        </w:rPr>
        <w:t>devils</w:t>
      </w:r>
      <w:proofErr w:type="spellEnd"/>
      <w:r w:rsidRPr="00F47862">
        <w:rPr>
          <w:rFonts w:asciiTheme="majorHAnsi" w:hAnsiTheme="majorHAnsi" w:cstheme="majorHAnsi"/>
          <w:lang w:val="fr-FR"/>
        </w:rPr>
        <w:t xml:space="preserve"> » (Cohen [1972] a décrit le comportement des conservateurs en termes religieux qui ont depuis connu un large succès dans l'espace politique ; voir aussi </w:t>
      </w:r>
      <w:proofErr w:type="spellStart"/>
      <w:r w:rsidRPr="00F47862">
        <w:rPr>
          <w:rFonts w:asciiTheme="majorHAnsi" w:hAnsiTheme="majorHAnsi" w:cstheme="majorHAnsi"/>
          <w:lang w:val="fr-FR"/>
        </w:rPr>
        <w:t>Hutchins-Viroux</w:t>
      </w:r>
      <w:proofErr w:type="spellEnd"/>
      <w:r w:rsidRPr="00F47862">
        <w:rPr>
          <w:rFonts w:asciiTheme="majorHAnsi" w:hAnsiTheme="majorHAnsi" w:cstheme="majorHAnsi"/>
          <w:lang w:val="fr-FR"/>
        </w:rPr>
        <w:t>, 2008). Cela est particulièrement vrai pour le thème de la conversion : les vocabulaires et les cadres religieux sont souvent utilisés de manière métaphorique pour décrire des expériences de transformation relatives à l'engagement, aux perspectives ou à l'ethos dans des domaines qui ne sont pas typiquement considérés comme religieux. Les exemples incluent les changements idéologiques sur des questions spécifiques telles que l'avortement (</w:t>
      </w:r>
      <w:proofErr w:type="spellStart"/>
      <w:r w:rsidRPr="00F47862">
        <w:rPr>
          <w:rFonts w:asciiTheme="majorHAnsi" w:hAnsiTheme="majorHAnsi" w:cstheme="majorHAnsi"/>
          <w:lang w:val="fr-FR"/>
        </w:rPr>
        <w:t>Layman</w:t>
      </w:r>
      <w:proofErr w:type="spellEnd"/>
      <w:r w:rsidRPr="00F47862">
        <w:rPr>
          <w:rFonts w:asciiTheme="majorHAnsi" w:hAnsiTheme="majorHAnsi" w:cstheme="majorHAnsi"/>
          <w:lang w:val="fr-FR"/>
        </w:rPr>
        <w:t xml:space="preserve"> &amp; </w:t>
      </w:r>
      <w:proofErr w:type="spellStart"/>
      <w:r w:rsidRPr="00F47862">
        <w:rPr>
          <w:rFonts w:asciiTheme="majorHAnsi" w:hAnsiTheme="majorHAnsi" w:cstheme="majorHAnsi"/>
          <w:lang w:val="fr-FR"/>
        </w:rPr>
        <w:t>Carsey</w:t>
      </w:r>
      <w:proofErr w:type="spellEnd"/>
      <w:r w:rsidRPr="00F47862">
        <w:rPr>
          <w:rFonts w:asciiTheme="majorHAnsi" w:hAnsiTheme="majorHAnsi" w:cstheme="majorHAnsi"/>
          <w:lang w:val="fr-FR"/>
        </w:rPr>
        <w:t xml:space="preserve">, 1998 ; 1999) et le féminisme (Yang et al., 2022), le changement d'affiliation à un parti politique (Clark et al..., 1991), les trajectoires de vie des militants politiques radicaux (Linden &amp; </w:t>
      </w:r>
      <w:proofErr w:type="spellStart"/>
      <w:r w:rsidRPr="00F47862">
        <w:rPr>
          <w:rFonts w:asciiTheme="majorHAnsi" w:hAnsiTheme="majorHAnsi" w:cstheme="majorHAnsi"/>
          <w:lang w:val="fr-FR"/>
        </w:rPr>
        <w:t>Klandermans</w:t>
      </w:r>
      <w:proofErr w:type="spellEnd"/>
      <w:r w:rsidRPr="00F47862">
        <w:rPr>
          <w:rFonts w:asciiTheme="majorHAnsi" w:hAnsiTheme="majorHAnsi" w:cstheme="majorHAnsi"/>
          <w:lang w:val="fr-FR"/>
        </w:rPr>
        <w:t>, 2007 ; Raynaud, 2017), les efforts de changement d'orientation sexuelle (Davison &amp; Walden, 2024), l'environnementalisme (</w:t>
      </w:r>
      <w:proofErr w:type="spellStart"/>
      <w:r w:rsidRPr="00F47862">
        <w:rPr>
          <w:rFonts w:asciiTheme="majorHAnsi" w:hAnsiTheme="majorHAnsi" w:cstheme="majorHAnsi"/>
          <w:lang w:val="fr-FR"/>
        </w:rPr>
        <w:t>Schauffler</w:t>
      </w:r>
      <w:proofErr w:type="spellEnd"/>
      <w:r w:rsidRPr="00F47862">
        <w:rPr>
          <w:rFonts w:asciiTheme="majorHAnsi" w:hAnsiTheme="majorHAnsi" w:cstheme="majorHAnsi"/>
          <w:lang w:val="fr-FR"/>
        </w:rPr>
        <w:t>, 2003), le développement du management (Peters, 1997) et les changements de valeurs (</w:t>
      </w:r>
      <w:proofErr w:type="spellStart"/>
      <w:r w:rsidRPr="00F47862">
        <w:rPr>
          <w:rFonts w:asciiTheme="majorHAnsi" w:hAnsiTheme="majorHAnsi" w:cstheme="majorHAnsi"/>
          <w:lang w:val="fr-FR"/>
        </w:rPr>
        <w:t>Tjeltveit</w:t>
      </w:r>
      <w:proofErr w:type="spellEnd"/>
      <w:r w:rsidRPr="00F47862">
        <w:rPr>
          <w:rFonts w:asciiTheme="majorHAnsi" w:hAnsiTheme="majorHAnsi" w:cstheme="majorHAnsi"/>
          <w:lang w:val="fr-FR"/>
        </w:rPr>
        <w:t xml:space="preserve">, 1986) ou de moralité (Mac </w:t>
      </w:r>
      <w:proofErr w:type="spellStart"/>
      <w:r w:rsidRPr="00F47862">
        <w:rPr>
          <w:rFonts w:asciiTheme="majorHAnsi" w:hAnsiTheme="majorHAnsi" w:cstheme="majorHAnsi"/>
          <w:lang w:val="fr-FR"/>
        </w:rPr>
        <w:t>Laughlin</w:t>
      </w:r>
      <w:proofErr w:type="spellEnd"/>
      <w:r w:rsidRPr="00F47862">
        <w:rPr>
          <w:rFonts w:asciiTheme="majorHAnsi" w:hAnsiTheme="majorHAnsi" w:cstheme="majorHAnsi"/>
          <w:lang w:val="fr-FR"/>
        </w:rPr>
        <w:t>, 2008).</w:t>
      </w:r>
    </w:p>
    <w:p w14:paraId="14A53370" w14:textId="77777777" w:rsidR="002318FB" w:rsidRPr="002318FB" w:rsidRDefault="002318FB" w:rsidP="002318FB">
      <w:pPr>
        <w:jc w:val="both"/>
        <w:rPr>
          <w:rFonts w:asciiTheme="majorHAnsi" w:hAnsiTheme="majorHAnsi" w:cstheme="majorHAnsi"/>
          <w:lang w:val="fr-FR"/>
        </w:rPr>
      </w:pPr>
    </w:p>
    <w:p w14:paraId="09D59F01" w14:textId="77777777" w:rsidR="00F47862"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Les contributeurs sont invités à aborder ce phénomène d'un </w:t>
      </w:r>
      <w:r w:rsidRPr="00F47862">
        <w:rPr>
          <w:rFonts w:asciiTheme="majorHAnsi" w:hAnsiTheme="majorHAnsi" w:cstheme="majorHAnsi"/>
          <w:b/>
          <w:bCs/>
          <w:lang w:val="fr-FR"/>
        </w:rPr>
        <w:t>point de vue empirique</w:t>
      </w:r>
      <w:r w:rsidRPr="00F47862">
        <w:rPr>
          <w:rFonts w:asciiTheme="majorHAnsi" w:hAnsiTheme="majorHAnsi" w:cstheme="majorHAnsi"/>
          <w:lang w:val="fr-FR"/>
        </w:rPr>
        <w:t xml:space="preserve"> (en étudiant les analogies religieuses appliquées à des contextes passés et contemporains) ou </w:t>
      </w:r>
      <w:r w:rsidRPr="00F47862">
        <w:rPr>
          <w:rFonts w:asciiTheme="majorHAnsi" w:hAnsiTheme="majorHAnsi" w:cstheme="majorHAnsi"/>
          <w:b/>
          <w:bCs/>
          <w:lang w:val="fr-FR"/>
        </w:rPr>
        <w:t>d'un point de vue théorique</w:t>
      </w:r>
      <w:r w:rsidRPr="00F47862">
        <w:rPr>
          <w:rFonts w:asciiTheme="majorHAnsi" w:hAnsiTheme="majorHAnsi" w:cstheme="majorHAnsi"/>
          <w:lang w:val="fr-FR"/>
        </w:rPr>
        <w:t xml:space="preserve"> (en analysant la valeur, les limites et les implications de ces analogies (</w:t>
      </w:r>
      <w:proofErr w:type="spellStart"/>
      <w:r w:rsidRPr="00F47862">
        <w:rPr>
          <w:rFonts w:asciiTheme="majorHAnsi" w:hAnsiTheme="majorHAnsi" w:cstheme="majorHAnsi"/>
          <w:lang w:val="fr-FR"/>
        </w:rPr>
        <w:t>Heinich</w:t>
      </w:r>
      <w:proofErr w:type="spellEnd"/>
      <w:r w:rsidRPr="00F47862">
        <w:rPr>
          <w:rFonts w:asciiTheme="majorHAnsi" w:hAnsiTheme="majorHAnsi" w:cstheme="majorHAnsi"/>
          <w:lang w:val="fr-FR"/>
        </w:rPr>
        <w:t>, 2014)). Les deux perspectives devraient viser une opérationnalisation de l'analogie religieuse, en cherchant à mieux définir les forces et les faiblesses épistémiques de ce dispositif discursif. Les contributions combinant les deux perspectives (par exemple en intégrant une dimension réflexive dans une étude empirique) sont également les bienvenues.</w:t>
      </w:r>
    </w:p>
    <w:p w14:paraId="1213CB53" w14:textId="77777777" w:rsidR="002318FB" w:rsidRPr="00F47862" w:rsidRDefault="002318FB" w:rsidP="002318FB">
      <w:pPr>
        <w:jc w:val="both"/>
        <w:rPr>
          <w:rFonts w:asciiTheme="majorHAnsi" w:hAnsiTheme="majorHAnsi" w:cstheme="majorHAnsi"/>
          <w:lang w:val="fr-FR"/>
        </w:rPr>
      </w:pPr>
    </w:p>
    <w:p w14:paraId="6341A77A" w14:textId="77777777" w:rsidR="00F47862" w:rsidRPr="002318FB"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Les </w:t>
      </w:r>
      <w:r w:rsidRPr="00F47862">
        <w:rPr>
          <w:rFonts w:asciiTheme="majorHAnsi" w:hAnsiTheme="majorHAnsi" w:cstheme="majorHAnsi"/>
          <w:b/>
          <w:bCs/>
          <w:lang w:val="fr-FR"/>
        </w:rPr>
        <w:t>questions empiriques</w:t>
      </w:r>
      <w:r w:rsidRPr="00F47862">
        <w:rPr>
          <w:rFonts w:asciiTheme="majorHAnsi" w:hAnsiTheme="majorHAnsi" w:cstheme="majorHAnsi"/>
          <w:lang w:val="fr-FR"/>
        </w:rPr>
        <w:t xml:space="preserve"> qui nous intéressent sont, entre autres, les suivantes : Quels sont les domaines non religieux actuels et historiques dans lesquels des analogies religieuses ont été employées ? Qui sont les protagonistes (émetteurs, récepteurs et objets) de ces analogies ? Les analogies religieuses sont-elles explicitement/consciemment reconnues par les protagonistes qui les utilisent, ceux qui les reçoivent ou ceux qui sont décrits par elles ? Ces analogies sont-elles utilisées comme des arguments séculiers pour </w:t>
      </w:r>
      <w:r w:rsidRPr="00F47862">
        <w:rPr>
          <w:rFonts w:asciiTheme="majorHAnsi" w:hAnsiTheme="majorHAnsi" w:cstheme="majorHAnsi"/>
          <w:lang w:val="fr-FR"/>
        </w:rPr>
        <w:lastRenderedPageBreak/>
        <w:t xml:space="preserve">critiquer, rejeter ou délégitimer des personnes ou des idées ? Ou existe-t-il des cas où les analogies religieuses véhiculent un message d'autonomisation ou de reconnaissance ? Nous sommes également intéressés par des études de cas spécifiques de transformations personnelles décrites en termes religieux mais se produisant dans des contextes non religieux tels que les soins de santé, la politique, les arts, l'éducation, etc. </w:t>
      </w:r>
    </w:p>
    <w:p w14:paraId="2FD5EBAC" w14:textId="77777777" w:rsidR="002318FB" w:rsidRPr="00F47862" w:rsidRDefault="002318FB" w:rsidP="002318FB">
      <w:pPr>
        <w:jc w:val="both"/>
        <w:rPr>
          <w:rFonts w:asciiTheme="majorHAnsi" w:hAnsiTheme="majorHAnsi" w:cstheme="majorHAnsi"/>
          <w:lang w:val="fr-FR"/>
        </w:rPr>
      </w:pPr>
    </w:p>
    <w:p w14:paraId="68C2E369" w14:textId="7445937E" w:rsidR="00F47862" w:rsidRPr="002318FB" w:rsidRDefault="00F47862" w:rsidP="002318FB">
      <w:pPr>
        <w:jc w:val="both"/>
        <w:rPr>
          <w:rFonts w:asciiTheme="majorHAnsi" w:hAnsiTheme="majorHAnsi" w:cstheme="majorHAnsi"/>
          <w:lang w:val="fr-FR"/>
        </w:rPr>
      </w:pPr>
      <w:r w:rsidRPr="00F47862">
        <w:rPr>
          <w:rFonts w:asciiTheme="majorHAnsi" w:hAnsiTheme="majorHAnsi" w:cstheme="majorHAnsi"/>
          <w:lang w:val="fr-FR"/>
        </w:rPr>
        <w:t xml:space="preserve">Les </w:t>
      </w:r>
      <w:r w:rsidRPr="00F47862">
        <w:rPr>
          <w:rFonts w:asciiTheme="majorHAnsi" w:hAnsiTheme="majorHAnsi" w:cstheme="majorHAnsi"/>
          <w:b/>
          <w:bCs/>
          <w:lang w:val="fr-FR"/>
        </w:rPr>
        <w:t>propositions théoriques</w:t>
      </w:r>
      <w:r w:rsidRPr="00F47862">
        <w:rPr>
          <w:rFonts w:asciiTheme="majorHAnsi" w:hAnsiTheme="majorHAnsi" w:cstheme="majorHAnsi"/>
          <w:lang w:val="fr-FR"/>
        </w:rPr>
        <w:t xml:space="preserve"> peuvent répondre à ces questions ou à des questions connexes : Dans quelles circonstances l'utilisation d'analogies religieuses constitue-t-elle une « surinterprétation » intellectualiste, rejetant ce qui est littéralement dit comme naïf en faveur de significations cachées, ésotériques, jamais voulues par les acteurs eux-mêmes (Bouveresse, 1999) ? Le recours aux </w:t>
      </w:r>
      <w:r w:rsidR="00EA171C" w:rsidRPr="00F47862">
        <w:rPr>
          <w:rFonts w:asciiTheme="majorHAnsi" w:hAnsiTheme="majorHAnsi" w:cstheme="majorHAnsi"/>
          <w:lang w:val="fr-FR"/>
        </w:rPr>
        <w:t>analogies</w:t>
      </w:r>
      <w:r w:rsidRPr="00F47862">
        <w:rPr>
          <w:rFonts w:asciiTheme="majorHAnsi" w:hAnsiTheme="majorHAnsi" w:cstheme="majorHAnsi"/>
          <w:lang w:val="fr-FR"/>
        </w:rPr>
        <w:t xml:space="preserve"> religieuses risque-t-il de confondre les analyses poétiques avec les comparaisons analytiques, créant des images évocatrices plutôt que construisant des cadres explicatifs (Veyne, 1971) ? L'utilisation d'analogies religieuses privilégie-t-elle la forme extérieure au détriment de la substance ? Quand l'utilisation d'analogies religieuses est-elle une arme rhétorique pour délégitimer un adversaire et quand est-elle un outil heuristique pour comprendre les phénomènes humains ? Les analogies religieuses sont-elles utiles à la compréhension analytique des phénomènes de conversion non religieux ? Quels sont les éléments de la « religion » les plus utilisés et les plus utiles dans l'utilisation de ces analogies ? L'utilisation du langage religieux émerge-t-elle faute d'un meilleur vocabulaire, par exemple parce qu'une crise politique empêche le recours à des cadres sociopolitiques séculiers ? Comment les analogies religieuses exposent-elles indirectement la manière dont la pensée séculière - en particulier dans sa forme des Lumières - attribue à tort certains universaux anthropologiques de l'expérience humaine à une catégorie mal définie de « religion » ?</w:t>
      </w:r>
    </w:p>
    <w:p w14:paraId="1E500289" w14:textId="77777777" w:rsidR="002318FB" w:rsidRPr="00F47862" w:rsidRDefault="002318FB" w:rsidP="00F47862">
      <w:pPr>
        <w:rPr>
          <w:rFonts w:asciiTheme="majorHAnsi" w:hAnsiTheme="majorHAnsi" w:cstheme="majorHAnsi"/>
          <w:sz w:val="24"/>
          <w:szCs w:val="24"/>
          <w:lang w:val="fr-FR"/>
        </w:rPr>
      </w:pPr>
    </w:p>
    <w:p w14:paraId="191C9B5A" w14:textId="77777777" w:rsidR="002318FB" w:rsidRPr="002318FB" w:rsidRDefault="002318FB" w:rsidP="002318FB">
      <w:pPr>
        <w:rPr>
          <w:rFonts w:asciiTheme="majorHAnsi" w:hAnsiTheme="majorHAnsi" w:cstheme="majorHAnsi"/>
          <w:b/>
          <w:bCs/>
          <w:sz w:val="28"/>
          <w:szCs w:val="28"/>
          <w:lang w:val="fr-FR"/>
        </w:rPr>
      </w:pPr>
      <w:r w:rsidRPr="002318FB">
        <w:rPr>
          <w:rFonts w:asciiTheme="majorHAnsi" w:hAnsiTheme="majorHAnsi" w:cstheme="majorHAnsi"/>
          <w:b/>
          <w:bCs/>
          <w:sz w:val="28"/>
          <w:szCs w:val="28"/>
          <w:lang w:val="fr-FR"/>
        </w:rPr>
        <w:t>Thème 2 : Mesurer les transformations</w:t>
      </w:r>
    </w:p>
    <w:p w14:paraId="43D6E54C" w14:textId="77777777" w:rsidR="002318FB" w:rsidRPr="002318FB" w:rsidRDefault="002318FB" w:rsidP="002318FB">
      <w:pPr>
        <w:rPr>
          <w:rFonts w:asciiTheme="majorHAnsi" w:hAnsiTheme="majorHAnsi" w:cstheme="majorHAnsi"/>
          <w:sz w:val="24"/>
          <w:szCs w:val="24"/>
          <w:lang w:val="fr-FR"/>
        </w:rPr>
      </w:pPr>
    </w:p>
    <w:p w14:paraId="7980962C" w14:textId="77777777" w:rsidR="002318FB" w:rsidRPr="002318FB" w:rsidRDefault="002318FB" w:rsidP="002318FB">
      <w:pPr>
        <w:jc w:val="both"/>
        <w:rPr>
          <w:rFonts w:asciiTheme="majorHAnsi" w:hAnsiTheme="majorHAnsi" w:cstheme="majorHAnsi"/>
          <w:lang w:val="fr-FR"/>
        </w:rPr>
      </w:pPr>
      <w:r w:rsidRPr="002318FB">
        <w:rPr>
          <w:rFonts w:asciiTheme="majorHAnsi" w:hAnsiTheme="majorHAnsi" w:cstheme="majorHAnsi"/>
          <w:lang w:val="fr-FR"/>
        </w:rPr>
        <w:t xml:space="preserve">Les sciences sociales et humaines sont traversées par diverses oppositions épistémiques en miroir (positivisme vs </w:t>
      </w:r>
      <w:proofErr w:type="spellStart"/>
      <w:r w:rsidRPr="002318FB">
        <w:rPr>
          <w:rFonts w:asciiTheme="majorHAnsi" w:hAnsiTheme="majorHAnsi" w:cstheme="majorHAnsi"/>
          <w:lang w:val="fr-FR"/>
        </w:rPr>
        <w:t>interprétativisme</w:t>
      </w:r>
      <w:proofErr w:type="spellEnd"/>
      <w:r w:rsidRPr="002318FB">
        <w:rPr>
          <w:rFonts w:asciiTheme="majorHAnsi" w:hAnsiTheme="majorHAnsi" w:cstheme="majorHAnsi"/>
          <w:lang w:val="fr-FR"/>
        </w:rPr>
        <w:t xml:space="preserve">, analyse explicative vs narration descriptive, behaviorisme vs culturalisme, etc.), dont beaucoup s'expriment dans la polarité méthodologique entre approches qualitatives et quantitatives. Certains chercheurs adoptent une seule approche tandis que d'autres privilégient les méthodes mixtes (Creswell &amp; Plano Clark, 2017). Chaque approche a son propre langage et ses propres défis, et les critiques ou controverses méthodologiques entourant chacune d'entre elles peuvent parfois atteindre un niveau d'intensité élevé, où chaque perspective attaque la légitimité de l'autre. Andrew Abbott (2004) décrit ce « cycle de la critique », qui consiste en une série d'escarmouches entre la recherche à petit N et la recherche à grand N ; le manque de généralisation des approches qualitatives constitue l'impulsion pour des études à plus grand échantillon, qui sont à leur tour critiquées pour leur manque de contextualisation. Chaque méthode l'emporte donc continuellement sur toutes les autres, bien que de différentes manières, de sorte que « presque toutes ces tromperies ont été essayées et ont conduit chaque communauté méthodologique à des formes de révisionnisme qui tentent de traiter les lacunes que d'autres communautés ont soulignées ». Ces formes de révision compliquent elles aussi le paysage méthodologique" (ibid., p. 64). </w:t>
      </w:r>
      <w:proofErr w:type="spellStart"/>
      <w:r w:rsidRPr="002318FB">
        <w:rPr>
          <w:rFonts w:asciiTheme="majorHAnsi" w:hAnsiTheme="majorHAnsi" w:cstheme="majorHAnsi"/>
          <w:lang w:val="fr-FR"/>
        </w:rPr>
        <w:t>Donghyun</w:t>
      </w:r>
      <w:proofErr w:type="spellEnd"/>
      <w:r w:rsidRPr="002318FB">
        <w:rPr>
          <w:rFonts w:asciiTheme="majorHAnsi" w:hAnsiTheme="majorHAnsi" w:cstheme="majorHAnsi"/>
          <w:lang w:val="fr-FR"/>
        </w:rPr>
        <w:t xml:space="preserve"> Kang et James Evans (2020) donnent du crédit à l'approche dans leur analyse du vocabulaire utilisé dans les études quantitatives et qualitatives, et leurs résultats suggèrent que les deux approches jouent un rôle complémentaire en valorisant des aspects </w:t>
      </w:r>
      <w:r w:rsidRPr="002318FB">
        <w:rPr>
          <w:rFonts w:asciiTheme="majorHAnsi" w:hAnsiTheme="majorHAnsi" w:cstheme="majorHAnsi"/>
          <w:lang w:val="fr-FR"/>
        </w:rPr>
        <w:lastRenderedPageBreak/>
        <w:t>symétriques opposés de la méthode scientifique. Cette complémentarité n'est pas toujours reconnue comme telle par les acteurs scientifiques de chaque domaine, qui ont tendance à croire que leurs méthodes respectives sont intrinsèquement et objectivement meilleures ou plus adaptées à leur objet que les méthodes utilisées dans d'autres traditions (</w:t>
      </w:r>
      <w:proofErr w:type="spellStart"/>
      <w:r w:rsidRPr="002318FB">
        <w:rPr>
          <w:rFonts w:asciiTheme="majorHAnsi" w:hAnsiTheme="majorHAnsi" w:cstheme="majorHAnsi"/>
          <w:lang w:val="fr-FR"/>
        </w:rPr>
        <w:t>Lamont</w:t>
      </w:r>
      <w:proofErr w:type="spellEnd"/>
      <w:r w:rsidRPr="002318FB">
        <w:rPr>
          <w:rFonts w:asciiTheme="majorHAnsi" w:hAnsiTheme="majorHAnsi" w:cstheme="majorHAnsi"/>
          <w:lang w:val="fr-FR"/>
        </w:rPr>
        <w:t xml:space="preserve">, 2009). </w:t>
      </w:r>
    </w:p>
    <w:p w14:paraId="50EA8D47" w14:textId="77777777" w:rsidR="002318FB" w:rsidRPr="002318FB" w:rsidRDefault="002318FB" w:rsidP="002318FB">
      <w:pPr>
        <w:jc w:val="both"/>
        <w:rPr>
          <w:rFonts w:asciiTheme="majorHAnsi" w:hAnsiTheme="majorHAnsi" w:cstheme="majorHAnsi"/>
          <w:lang w:val="fr-FR"/>
        </w:rPr>
      </w:pPr>
    </w:p>
    <w:p w14:paraId="550E04F4" w14:textId="77777777" w:rsidR="002318FB" w:rsidRPr="002318FB" w:rsidRDefault="002318FB" w:rsidP="002318FB">
      <w:pPr>
        <w:jc w:val="both"/>
        <w:rPr>
          <w:rFonts w:asciiTheme="majorHAnsi" w:hAnsiTheme="majorHAnsi" w:cstheme="majorHAnsi"/>
          <w:lang w:val="fr-FR"/>
        </w:rPr>
      </w:pPr>
      <w:r w:rsidRPr="002318FB">
        <w:rPr>
          <w:rFonts w:asciiTheme="majorHAnsi" w:hAnsiTheme="majorHAnsi" w:cstheme="majorHAnsi"/>
          <w:lang w:val="fr-FR"/>
        </w:rPr>
        <w:t xml:space="preserve">Les processus de transformation personnelle et collective peuvent servir de test instructif pour distiller ces débats et explorer la complémentarité (ou l'inconciliabilité) des méthodologies quantitatives et qualitatives. Identifier quand un événement transformationnel s'est produit, comment il doit être décrit et analysé et dans quelle perspective, situer son niveau d'occurrence (individuel ou collectif) et ses indicateurs saillants, évaluer son degré d'ampleur et ses qualités morales, et déterminer quels sont ses effets, tels sont les défis que ce deuxième thème du symposium devrait relever. </w:t>
      </w:r>
    </w:p>
    <w:p w14:paraId="555D6C6F" w14:textId="77777777" w:rsidR="002318FB" w:rsidRPr="002318FB" w:rsidRDefault="002318FB" w:rsidP="002318FB">
      <w:pPr>
        <w:jc w:val="both"/>
        <w:rPr>
          <w:rFonts w:asciiTheme="majorHAnsi" w:hAnsiTheme="majorHAnsi" w:cstheme="majorHAnsi"/>
          <w:lang w:val="fr-FR"/>
        </w:rPr>
      </w:pPr>
    </w:p>
    <w:p w14:paraId="15E0DEEF" w14:textId="33A68E2A" w:rsidR="002318FB" w:rsidRPr="002318FB" w:rsidRDefault="002318FB" w:rsidP="002318FB">
      <w:pPr>
        <w:jc w:val="both"/>
        <w:rPr>
          <w:rFonts w:asciiTheme="majorHAnsi" w:hAnsiTheme="majorHAnsi" w:cstheme="majorHAnsi"/>
          <w:lang w:val="fr-FR"/>
        </w:rPr>
      </w:pPr>
      <w:r w:rsidRPr="002318FB">
        <w:rPr>
          <w:rFonts w:asciiTheme="majorHAnsi" w:hAnsiTheme="majorHAnsi" w:cstheme="majorHAnsi"/>
          <w:lang w:val="fr-FR"/>
        </w:rPr>
        <w:t xml:space="preserve">Les communications qui répondront à ce thème pourront s'interroger sur </w:t>
      </w:r>
      <w:r w:rsidRPr="002318FB">
        <w:rPr>
          <w:rFonts w:asciiTheme="majorHAnsi" w:hAnsiTheme="majorHAnsi" w:cstheme="majorHAnsi"/>
          <w:b/>
          <w:bCs/>
          <w:lang w:val="fr-FR"/>
        </w:rPr>
        <w:t>co</w:t>
      </w:r>
      <w:r w:rsidRPr="002318FB">
        <w:rPr>
          <w:rFonts w:asciiTheme="majorHAnsi" w:hAnsiTheme="majorHAnsi" w:cstheme="majorHAnsi"/>
          <w:b/>
          <w:bCs/>
          <w:lang w:val="fr-FR"/>
        </w:rPr>
        <w:t>m</w:t>
      </w:r>
      <w:r w:rsidRPr="002318FB">
        <w:rPr>
          <w:rFonts w:asciiTheme="majorHAnsi" w:hAnsiTheme="majorHAnsi" w:cstheme="majorHAnsi"/>
          <w:b/>
          <w:bCs/>
          <w:lang w:val="fr-FR"/>
        </w:rPr>
        <w:t>ment me</w:t>
      </w:r>
      <w:r w:rsidRPr="002318FB">
        <w:rPr>
          <w:rFonts w:asciiTheme="majorHAnsi" w:hAnsiTheme="majorHAnsi" w:cstheme="majorHAnsi"/>
          <w:b/>
          <w:bCs/>
          <w:lang w:val="fr-FR"/>
        </w:rPr>
        <w:t>surer</w:t>
      </w:r>
      <w:r w:rsidRPr="002318FB">
        <w:rPr>
          <w:rFonts w:asciiTheme="majorHAnsi" w:hAnsiTheme="majorHAnsi" w:cstheme="majorHAnsi"/>
          <w:lang w:val="fr-FR"/>
        </w:rPr>
        <w:t xml:space="preserve"> les taux de conversion, les transformations sociales ou les changements personnels (tels que les changements de personnalité ou les engagements profonds) et sur les défis posés par la quantification de ces transformations. Quelles ont été les principales avancées méthodologiques dans ce domaine, et quelles nouvelles percées méthodologiques peuvent être imaginées avec les récentes avancées technologiques en matière de capacités informatiques (Grossmann et al., 2023 ; </w:t>
      </w:r>
      <w:proofErr w:type="spellStart"/>
      <w:r w:rsidRPr="002318FB">
        <w:rPr>
          <w:rFonts w:asciiTheme="majorHAnsi" w:hAnsiTheme="majorHAnsi" w:cstheme="majorHAnsi"/>
          <w:lang w:val="fr-FR"/>
        </w:rPr>
        <w:t>Espín-Sánchez</w:t>
      </w:r>
      <w:proofErr w:type="spellEnd"/>
      <w:r w:rsidRPr="002318FB">
        <w:rPr>
          <w:rFonts w:asciiTheme="majorHAnsi" w:hAnsiTheme="majorHAnsi" w:cstheme="majorHAnsi"/>
          <w:lang w:val="fr-FR"/>
        </w:rPr>
        <w:t xml:space="preserve"> et al., 2024) ? Existe-t-il des modèles historiques mesurables d'adaptation individuelle et collective aux crises et, si ce n'est pas le cas, quels sont les obstacles à l'établissement de tels modèles ? Les articles peuvent également évaluer les évaluations normatives implicites ou explicites des comptes rendus existants des processus de transformation. </w:t>
      </w:r>
    </w:p>
    <w:p w14:paraId="6BC7CC94" w14:textId="77777777" w:rsidR="002318FB" w:rsidRPr="002318FB" w:rsidRDefault="002318FB" w:rsidP="002318FB">
      <w:pPr>
        <w:jc w:val="both"/>
        <w:rPr>
          <w:rFonts w:asciiTheme="majorHAnsi" w:hAnsiTheme="majorHAnsi" w:cstheme="majorHAnsi"/>
          <w:lang w:val="fr-FR"/>
        </w:rPr>
      </w:pPr>
    </w:p>
    <w:p w14:paraId="6ED52594" w14:textId="77777777" w:rsidR="002318FB" w:rsidRPr="002318FB" w:rsidRDefault="002318FB" w:rsidP="002318FB">
      <w:pPr>
        <w:jc w:val="both"/>
        <w:rPr>
          <w:rFonts w:asciiTheme="majorHAnsi" w:hAnsiTheme="majorHAnsi" w:cstheme="majorHAnsi"/>
          <w:lang w:val="fr-FR"/>
        </w:rPr>
      </w:pPr>
      <w:r w:rsidRPr="002318FB">
        <w:rPr>
          <w:rFonts w:asciiTheme="majorHAnsi" w:hAnsiTheme="majorHAnsi" w:cstheme="majorHAnsi"/>
          <w:lang w:val="fr-FR"/>
        </w:rPr>
        <w:t xml:space="preserve">En particulier, nous serions intéressés par des articles qui étudient </w:t>
      </w:r>
      <w:r w:rsidRPr="002318FB">
        <w:rPr>
          <w:rFonts w:asciiTheme="majorHAnsi" w:hAnsiTheme="majorHAnsi" w:cstheme="majorHAnsi"/>
          <w:b/>
          <w:bCs/>
          <w:lang w:val="fr-FR"/>
        </w:rPr>
        <w:t>comment les approches qualitatives et quantitatives</w:t>
      </w:r>
      <w:r w:rsidRPr="002318FB">
        <w:rPr>
          <w:rFonts w:asciiTheme="majorHAnsi" w:hAnsiTheme="majorHAnsi" w:cstheme="majorHAnsi"/>
          <w:lang w:val="fr-FR"/>
        </w:rPr>
        <w:t xml:space="preserve"> </w:t>
      </w:r>
      <w:r w:rsidRPr="002318FB">
        <w:rPr>
          <w:rFonts w:asciiTheme="majorHAnsi" w:hAnsiTheme="majorHAnsi" w:cstheme="majorHAnsi"/>
          <w:b/>
          <w:bCs/>
          <w:lang w:val="fr-FR"/>
        </w:rPr>
        <w:t>se complètent</w:t>
      </w:r>
      <w:r w:rsidRPr="002318FB">
        <w:rPr>
          <w:rFonts w:asciiTheme="majorHAnsi" w:hAnsiTheme="majorHAnsi" w:cstheme="majorHAnsi"/>
          <w:lang w:val="fr-FR"/>
        </w:rPr>
        <w:t xml:space="preserve"> pour mesurer la transformation personnelle ou qui </w:t>
      </w:r>
      <w:r w:rsidRPr="002318FB">
        <w:rPr>
          <w:rFonts w:asciiTheme="majorHAnsi" w:hAnsiTheme="majorHAnsi" w:cstheme="majorHAnsi"/>
          <w:b/>
          <w:bCs/>
          <w:lang w:val="fr-FR"/>
        </w:rPr>
        <w:t>analysent les frictions et les obstacles qui limitent cette complémentarité</w:t>
      </w:r>
      <w:r w:rsidRPr="002318FB">
        <w:rPr>
          <w:rFonts w:asciiTheme="majorHAnsi" w:hAnsiTheme="majorHAnsi" w:cstheme="majorHAnsi"/>
          <w:lang w:val="fr-FR"/>
        </w:rPr>
        <w:t>. Quels sont les apports des évaluations psychométriques et les obstacles à la généralisation de ces approches dans des phénomènes aussi hautement subjectifs - en particulier lorsqu'il s'agit de mesurer des valeurs (</w:t>
      </w:r>
      <w:proofErr w:type="spellStart"/>
      <w:r w:rsidRPr="002318FB">
        <w:rPr>
          <w:rFonts w:asciiTheme="majorHAnsi" w:hAnsiTheme="majorHAnsi" w:cstheme="majorHAnsi"/>
          <w:lang w:val="fr-FR"/>
        </w:rPr>
        <w:t>Sijtsma</w:t>
      </w:r>
      <w:proofErr w:type="spellEnd"/>
      <w:r w:rsidRPr="002318FB">
        <w:rPr>
          <w:rFonts w:asciiTheme="majorHAnsi" w:hAnsiTheme="majorHAnsi" w:cstheme="majorHAnsi"/>
          <w:lang w:val="fr-FR"/>
        </w:rPr>
        <w:t>, 2021) ? Comment quantifier la transformation personnelle sans la décontextualiser au point de la rendre inintelligible ? Comment décrire qualitativement les transformations sans généraliser naïvement à partir d'un échantillon non représentatif ? Comment réconcilier ou dépasser le clivage entre des imaginaires et des épistémologies concurrentes sur cette question spécifique ?</w:t>
      </w:r>
    </w:p>
    <w:p w14:paraId="02202381" w14:textId="77777777" w:rsidR="002318FB" w:rsidRPr="002318FB" w:rsidRDefault="002318FB" w:rsidP="002318FB">
      <w:pPr>
        <w:jc w:val="both"/>
        <w:rPr>
          <w:rFonts w:asciiTheme="majorHAnsi" w:hAnsiTheme="majorHAnsi" w:cstheme="majorHAnsi"/>
          <w:lang w:val="fr-FR"/>
        </w:rPr>
      </w:pPr>
    </w:p>
    <w:p w14:paraId="020F85CC" w14:textId="77777777" w:rsidR="002318FB" w:rsidRPr="002318FB" w:rsidRDefault="002318FB" w:rsidP="002318FB">
      <w:pPr>
        <w:rPr>
          <w:rFonts w:asciiTheme="majorHAnsi" w:hAnsiTheme="majorHAnsi" w:cstheme="majorHAnsi"/>
          <w:b/>
          <w:bCs/>
          <w:sz w:val="28"/>
          <w:szCs w:val="28"/>
          <w:lang w:val="en-GB"/>
        </w:rPr>
      </w:pPr>
      <w:proofErr w:type="spellStart"/>
      <w:r w:rsidRPr="002318FB">
        <w:rPr>
          <w:rFonts w:asciiTheme="majorHAnsi" w:hAnsiTheme="majorHAnsi" w:cstheme="majorHAnsi"/>
          <w:b/>
          <w:bCs/>
          <w:sz w:val="28"/>
          <w:szCs w:val="28"/>
          <w:lang w:val="en-GB"/>
        </w:rPr>
        <w:t>Bibliographie</w:t>
      </w:r>
      <w:proofErr w:type="spellEnd"/>
    </w:p>
    <w:p w14:paraId="27313E90" w14:textId="77777777" w:rsidR="002318FB" w:rsidRPr="002318FB" w:rsidRDefault="002318FB" w:rsidP="002318FB">
      <w:pPr>
        <w:spacing w:before="120" w:after="120" w:line="240" w:lineRule="auto"/>
        <w:rPr>
          <w:rFonts w:asciiTheme="majorHAnsi" w:hAnsiTheme="majorHAnsi" w:cstheme="majorHAnsi"/>
        </w:rPr>
      </w:pPr>
      <w:r w:rsidRPr="002318FB">
        <w:rPr>
          <w:rFonts w:asciiTheme="majorHAnsi" w:hAnsiTheme="majorHAnsi" w:cstheme="majorHAnsi"/>
          <w:b/>
          <w:bCs/>
        </w:rPr>
        <w:t>Abbott, A.</w:t>
      </w:r>
      <w:r w:rsidRPr="002318FB">
        <w:rPr>
          <w:rFonts w:asciiTheme="majorHAnsi" w:hAnsiTheme="majorHAnsi" w:cstheme="majorHAnsi"/>
        </w:rPr>
        <w:t xml:space="preserve"> (2004). </w:t>
      </w:r>
      <w:r w:rsidRPr="002318FB">
        <w:rPr>
          <w:rFonts w:asciiTheme="majorHAnsi" w:hAnsiTheme="majorHAnsi" w:cstheme="majorHAnsi"/>
          <w:i/>
          <w:iCs/>
        </w:rPr>
        <w:t>Methods of Discovery: Heuristics for the Social Sciences</w:t>
      </w:r>
      <w:r w:rsidRPr="002318FB">
        <w:rPr>
          <w:rFonts w:asciiTheme="majorHAnsi" w:hAnsiTheme="majorHAnsi" w:cstheme="majorHAnsi"/>
        </w:rPr>
        <w:t>. W.W. Norton &amp; Company.</w:t>
      </w:r>
      <w:r w:rsidRPr="002318FB">
        <w:rPr>
          <w:rFonts w:asciiTheme="majorHAnsi" w:hAnsiTheme="majorHAnsi" w:cstheme="majorHAnsi"/>
        </w:rPr>
        <w:br/>
      </w:r>
      <w:proofErr w:type="spellStart"/>
      <w:r w:rsidRPr="002318FB">
        <w:rPr>
          <w:rFonts w:asciiTheme="majorHAnsi" w:hAnsiTheme="majorHAnsi" w:cstheme="majorHAnsi"/>
          <w:b/>
          <w:bCs/>
        </w:rPr>
        <w:t>Arvan</w:t>
      </w:r>
      <w:proofErr w:type="spellEnd"/>
      <w:r w:rsidRPr="002318FB">
        <w:rPr>
          <w:rFonts w:asciiTheme="majorHAnsi" w:hAnsiTheme="majorHAnsi" w:cstheme="majorHAnsi"/>
          <w:b/>
          <w:bCs/>
        </w:rPr>
        <w:t>, M.</w:t>
      </w:r>
      <w:r w:rsidRPr="002318FB">
        <w:rPr>
          <w:rFonts w:asciiTheme="majorHAnsi" w:hAnsiTheme="majorHAnsi" w:cstheme="majorHAnsi"/>
        </w:rPr>
        <w:t xml:space="preserve"> (2013) ‘Transformative experiences’, </w:t>
      </w:r>
      <w:r w:rsidRPr="002318FB">
        <w:rPr>
          <w:rFonts w:asciiTheme="majorHAnsi" w:hAnsiTheme="majorHAnsi" w:cstheme="majorHAnsi"/>
          <w:i/>
          <w:iCs/>
        </w:rPr>
        <w:t>International Encyclopedia of Ethics</w:t>
      </w:r>
      <w:r w:rsidRPr="002318FB">
        <w:rPr>
          <w:rFonts w:asciiTheme="majorHAnsi" w:hAnsiTheme="majorHAnsi" w:cstheme="majorHAnsi"/>
        </w:rPr>
        <w:t>, pp. 1-9.</w:t>
      </w:r>
      <w:r w:rsidRPr="002318FB">
        <w:rPr>
          <w:rFonts w:asciiTheme="majorHAnsi" w:hAnsiTheme="majorHAnsi" w:cstheme="majorHAnsi"/>
        </w:rPr>
        <w:br/>
      </w:r>
      <w:proofErr w:type="spellStart"/>
      <w:r w:rsidRPr="002318FB">
        <w:rPr>
          <w:rFonts w:asciiTheme="majorHAnsi" w:hAnsiTheme="majorHAnsi" w:cstheme="majorHAnsi"/>
          <w:b/>
          <w:bCs/>
        </w:rPr>
        <w:t>Arvan</w:t>
      </w:r>
      <w:proofErr w:type="spellEnd"/>
      <w:r w:rsidRPr="002318FB">
        <w:rPr>
          <w:rFonts w:asciiTheme="majorHAnsi" w:hAnsiTheme="majorHAnsi" w:cstheme="majorHAnsi"/>
          <w:b/>
          <w:bCs/>
        </w:rPr>
        <w:t>, M.</w:t>
      </w:r>
      <w:r w:rsidRPr="002318FB">
        <w:rPr>
          <w:rFonts w:asciiTheme="majorHAnsi" w:hAnsiTheme="majorHAnsi" w:cstheme="majorHAnsi"/>
        </w:rPr>
        <w:t xml:space="preserve"> (2015) ‘How to rationally approach life's transformative experiences’, </w:t>
      </w:r>
      <w:r w:rsidRPr="002318FB">
        <w:rPr>
          <w:rFonts w:asciiTheme="majorHAnsi" w:hAnsiTheme="majorHAnsi" w:cstheme="majorHAnsi"/>
          <w:i/>
          <w:iCs/>
        </w:rPr>
        <w:t>Philosophical Psychology</w:t>
      </w:r>
      <w:r w:rsidRPr="002318FB">
        <w:rPr>
          <w:rFonts w:asciiTheme="majorHAnsi" w:hAnsiTheme="majorHAnsi" w:cstheme="majorHAnsi"/>
        </w:rPr>
        <w:t>, 28, pp. 1199–218.</w:t>
      </w:r>
      <w:r w:rsidRPr="002318FB">
        <w:rPr>
          <w:rFonts w:asciiTheme="majorHAnsi" w:hAnsiTheme="majorHAnsi" w:cstheme="majorHAnsi"/>
        </w:rPr>
        <w:br/>
      </w:r>
      <w:r w:rsidRPr="002318FB">
        <w:rPr>
          <w:rFonts w:asciiTheme="majorHAnsi" w:hAnsiTheme="majorHAnsi" w:cstheme="majorHAnsi"/>
          <w:b/>
          <w:bCs/>
        </w:rPr>
        <w:t>Barnes, E.</w:t>
      </w:r>
      <w:r w:rsidRPr="002318FB">
        <w:rPr>
          <w:rFonts w:asciiTheme="majorHAnsi" w:hAnsiTheme="majorHAnsi" w:cstheme="majorHAnsi"/>
        </w:rPr>
        <w:t xml:space="preserve"> (2015) ‘Social identities and transformative experience’,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92, pp. 171–87.</w:t>
      </w:r>
      <w:r w:rsidRPr="002318FB">
        <w:rPr>
          <w:rFonts w:asciiTheme="majorHAnsi" w:hAnsiTheme="majorHAnsi" w:cstheme="majorHAnsi"/>
        </w:rPr>
        <w:br/>
      </w:r>
      <w:proofErr w:type="spellStart"/>
      <w:r w:rsidRPr="002318FB">
        <w:rPr>
          <w:rFonts w:asciiTheme="majorHAnsi" w:hAnsiTheme="majorHAnsi" w:cstheme="majorHAnsi"/>
          <w:b/>
          <w:bCs/>
        </w:rPr>
        <w:t>Bendle</w:t>
      </w:r>
      <w:proofErr w:type="spellEnd"/>
      <w:r w:rsidRPr="002318FB">
        <w:rPr>
          <w:rFonts w:asciiTheme="majorHAnsi" w:hAnsiTheme="majorHAnsi" w:cstheme="majorHAnsi"/>
          <w:b/>
          <w:bCs/>
        </w:rPr>
        <w:t xml:space="preserve">, </w:t>
      </w:r>
      <w:proofErr w:type="spellStart"/>
      <w:r w:rsidRPr="002318FB">
        <w:rPr>
          <w:rFonts w:asciiTheme="majorHAnsi" w:hAnsiTheme="majorHAnsi" w:cstheme="majorHAnsi"/>
          <w:b/>
          <w:bCs/>
        </w:rPr>
        <w:t>M.F</w:t>
      </w:r>
      <w:proofErr w:type="spellEnd"/>
      <w:r w:rsidRPr="002318FB">
        <w:rPr>
          <w:rFonts w:asciiTheme="majorHAnsi" w:hAnsiTheme="majorHAnsi" w:cstheme="majorHAnsi"/>
          <w:b/>
          <w:bCs/>
        </w:rPr>
        <w:t>.</w:t>
      </w:r>
      <w:r w:rsidRPr="002318FB">
        <w:rPr>
          <w:rFonts w:asciiTheme="majorHAnsi" w:hAnsiTheme="majorHAnsi" w:cstheme="majorHAnsi"/>
        </w:rPr>
        <w:t xml:space="preserve"> (2003) ‘Reflexive spirituality and metanoia in high modernity’, </w:t>
      </w:r>
      <w:r w:rsidRPr="002318FB">
        <w:rPr>
          <w:rFonts w:asciiTheme="majorHAnsi" w:hAnsiTheme="majorHAnsi" w:cstheme="majorHAnsi"/>
          <w:i/>
          <w:iCs/>
        </w:rPr>
        <w:t>Australian Religion Studies Review</w:t>
      </w:r>
      <w:r w:rsidRPr="002318FB">
        <w:rPr>
          <w:rFonts w:asciiTheme="majorHAnsi" w:hAnsiTheme="majorHAnsi" w:cstheme="majorHAnsi"/>
        </w:rPr>
        <w:t>, 16(1).</w:t>
      </w:r>
      <w:r w:rsidRPr="002318FB">
        <w:rPr>
          <w:rFonts w:asciiTheme="majorHAnsi" w:hAnsiTheme="majorHAnsi" w:cstheme="majorHAnsi"/>
        </w:rPr>
        <w:br/>
      </w:r>
      <w:r w:rsidRPr="002318FB">
        <w:rPr>
          <w:rFonts w:asciiTheme="majorHAnsi" w:hAnsiTheme="majorHAnsi" w:cstheme="majorHAnsi"/>
          <w:b/>
          <w:bCs/>
          <w:lang w:val="fr-FR"/>
        </w:rPr>
        <w:t>Bouveresse, J.</w:t>
      </w:r>
      <w:r w:rsidRPr="002318FB">
        <w:rPr>
          <w:rFonts w:asciiTheme="majorHAnsi" w:hAnsiTheme="majorHAnsi" w:cstheme="majorHAnsi"/>
          <w:lang w:val="fr-FR"/>
        </w:rPr>
        <w:t xml:space="preserve"> (1999) 'Prodiges et vertiges de l'analogie', </w:t>
      </w:r>
      <w:r w:rsidRPr="002318FB">
        <w:rPr>
          <w:rFonts w:asciiTheme="majorHAnsi" w:hAnsiTheme="majorHAnsi" w:cstheme="majorHAnsi"/>
          <w:i/>
          <w:iCs/>
          <w:lang w:val="fr-FR"/>
        </w:rPr>
        <w:t>Quinzaine Littéraire</w:t>
      </w:r>
      <w:r w:rsidRPr="002318FB">
        <w:rPr>
          <w:rFonts w:asciiTheme="majorHAnsi" w:hAnsiTheme="majorHAnsi" w:cstheme="majorHAnsi"/>
          <w:lang w:val="fr-FR"/>
        </w:rPr>
        <w:t>, pp. 22-22.</w:t>
      </w:r>
      <w:r w:rsidRPr="002318FB">
        <w:rPr>
          <w:rFonts w:asciiTheme="majorHAnsi" w:hAnsiTheme="majorHAnsi" w:cstheme="majorHAnsi"/>
          <w:lang w:val="fr-FR"/>
        </w:rPr>
        <w:br/>
      </w:r>
      <w:r w:rsidRPr="002318FB">
        <w:rPr>
          <w:rFonts w:asciiTheme="majorHAnsi" w:hAnsiTheme="majorHAnsi" w:cstheme="majorHAnsi"/>
          <w:b/>
          <w:bCs/>
        </w:rPr>
        <w:t>Brierley, J.</w:t>
      </w:r>
      <w:r w:rsidRPr="002318FB">
        <w:rPr>
          <w:rFonts w:asciiTheme="majorHAnsi" w:hAnsiTheme="majorHAnsi" w:cstheme="majorHAnsi"/>
        </w:rPr>
        <w:t xml:space="preserve"> (2023) </w:t>
      </w:r>
      <w:r w:rsidRPr="002318FB">
        <w:rPr>
          <w:rFonts w:asciiTheme="majorHAnsi" w:hAnsiTheme="majorHAnsi" w:cstheme="majorHAnsi"/>
          <w:i/>
          <w:iCs/>
        </w:rPr>
        <w:t xml:space="preserve">The surprising rebirth of belief in God: Why new atheism grew old and secular thinkers </w:t>
      </w:r>
      <w:r w:rsidRPr="002318FB">
        <w:rPr>
          <w:rFonts w:asciiTheme="majorHAnsi" w:hAnsiTheme="majorHAnsi" w:cstheme="majorHAnsi"/>
          <w:i/>
          <w:iCs/>
        </w:rPr>
        <w:lastRenderedPageBreak/>
        <w:t>are considering Christianity again</w:t>
      </w:r>
      <w:r w:rsidRPr="002318FB">
        <w:rPr>
          <w:rFonts w:asciiTheme="majorHAnsi" w:hAnsiTheme="majorHAnsi" w:cstheme="majorHAnsi"/>
        </w:rPr>
        <w:t>. Carol Stream, IL: Tyndale House Publishers.</w:t>
      </w:r>
      <w:r w:rsidRPr="002318FB">
        <w:rPr>
          <w:rFonts w:asciiTheme="majorHAnsi" w:hAnsiTheme="majorHAnsi" w:cstheme="majorHAnsi"/>
        </w:rPr>
        <w:br/>
      </w:r>
      <w:r w:rsidRPr="002318FB">
        <w:rPr>
          <w:rFonts w:asciiTheme="majorHAnsi" w:hAnsiTheme="majorHAnsi" w:cstheme="majorHAnsi"/>
          <w:b/>
          <w:bCs/>
        </w:rPr>
        <w:t>Briggs, R.</w:t>
      </w:r>
      <w:r w:rsidRPr="002318FB">
        <w:rPr>
          <w:rFonts w:asciiTheme="majorHAnsi" w:hAnsiTheme="majorHAnsi" w:cstheme="majorHAnsi"/>
        </w:rPr>
        <w:t xml:space="preserve"> (2015) ‘Transformative experience and interpersonal utility comparisons’,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92, pp. 189–216.</w:t>
      </w:r>
      <w:r w:rsidRPr="002318FB">
        <w:rPr>
          <w:rFonts w:asciiTheme="majorHAnsi" w:hAnsiTheme="majorHAnsi" w:cstheme="majorHAnsi"/>
        </w:rPr>
        <w:br/>
      </w:r>
      <w:r w:rsidRPr="002318FB">
        <w:rPr>
          <w:rFonts w:asciiTheme="majorHAnsi" w:hAnsiTheme="majorHAnsi" w:cstheme="majorHAnsi"/>
          <w:b/>
          <w:bCs/>
        </w:rPr>
        <w:t>Campbell, J.</w:t>
      </w:r>
      <w:r w:rsidRPr="002318FB">
        <w:rPr>
          <w:rFonts w:asciiTheme="majorHAnsi" w:hAnsiTheme="majorHAnsi" w:cstheme="majorHAnsi"/>
        </w:rPr>
        <w:t xml:space="preserve"> (2015) ‘L. A. Paul's transformative experience’, </w:t>
      </w:r>
      <w:r w:rsidRPr="002318FB">
        <w:rPr>
          <w:rFonts w:asciiTheme="majorHAnsi" w:hAnsiTheme="majorHAnsi" w:cstheme="majorHAnsi"/>
          <w:i/>
          <w:iCs/>
        </w:rPr>
        <w:t>Philosophy and Phenomenological Research</w:t>
      </w:r>
      <w:r w:rsidRPr="002318FB">
        <w:rPr>
          <w:rFonts w:asciiTheme="majorHAnsi" w:hAnsiTheme="majorHAnsi" w:cstheme="majorHAnsi"/>
        </w:rPr>
        <w:t>, 91, pp. 787–93.</w:t>
      </w:r>
      <w:r w:rsidRPr="002318FB">
        <w:rPr>
          <w:rFonts w:asciiTheme="majorHAnsi" w:hAnsiTheme="majorHAnsi" w:cstheme="majorHAnsi"/>
        </w:rPr>
        <w:br/>
      </w:r>
      <w:proofErr w:type="spellStart"/>
      <w:r w:rsidRPr="002318FB">
        <w:rPr>
          <w:rFonts w:asciiTheme="majorHAnsi" w:hAnsiTheme="majorHAnsi" w:cstheme="majorHAnsi"/>
          <w:b/>
          <w:bCs/>
        </w:rPr>
        <w:t>Cappelen</w:t>
      </w:r>
      <w:proofErr w:type="spellEnd"/>
      <w:r w:rsidRPr="002318FB">
        <w:rPr>
          <w:rFonts w:asciiTheme="majorHAnsi" w:hAnsiTheme="majorHAnsi" w:cstheme="majorHAnsi"/>
          <w:b/>
          <w:bCs/>
        </w:rPr>
        <w:t xml:space="preserve">, H. and </w:t>
      </w:r>
      <w:proofErr w:type="spellStart"/>
      <w:r w:rsidRPr="002318FB">
        <w:rPr>
          <w:rFonts w:asciiTheme="majorHAnsi" w:hAnsiTheme="majorHAnsi" w:cstheme="majorHAnsi"/>
          <w:b/>
          <w:bCs/>
        </w:rPr>
        <w:t>Dever</w:t>
      </w:r>
      <w:proofErr w:type="spellEnd"/>
      <w:r w:rsidRPr="002318FB">
        <w:rPr>
          <w:rFonts w:asciiTheme="majorHAnsi" w:hAnsiTheme="majorHAnsi" w:cstheme="majorHAnsi"/>
          <w:b/>
          <w:bCs/>
        </w:rPr>
        <w:t>, J.</w:t>
      </w:r>
      <w:r w:rsidRPr="002318FB">
        <w:rPr>
          <w:rFonts w:asciiTheme="majorHAnsi" w:hAnsiTheme="majorHAnsi" w:cstheme="majorHAnsi"/>
        </w:rPr>
        <w:t xml:space="preserve"> (2017) ‘Empathy and transformative experience without the first-person point of view’, </w:t>
      </w:r>
      <w:r w:rsidRPr="002318FB">
        <w:rPr>
          <w:rFonts w:asciiTheme="majorHAnsi" w:hAnsiTheme="majorHAnsi" w:cstheme="majorHAnsi"/>
          <w:i/>
          <w:iCs/>
        </w:rPr>
        <w:t>Inquiry: An Interdisciplinary Journal of Philosophy</w:t>
      </w:r>
      <w:r w:rsidRPr="002318FB">
        <w:rPr>
          <w:rFonts w:asciiTheme="majorHAnsi" w:hAnsiTheme="majorHAnsi" w:cstheme="majorHAnsi"/>
        </w:rPr>
        <w:t>, 60, pp. 315–36.</w:t>
      </w:r>
      <w:r w:rsidRPr="002318FB">
        <w:rPr>
          <w:rFonts w:asciiTheme="majorHAnsi" w:hAnsiTheme="majorHAnsi" w:cstheme="majorHAnsi"/>
        </w:rPr>
        <w:br/>
      </w:r>
      <w:r w:rsidRPr="002318FB">
        <w:rPr>
          <w:rFonts w:asciiTheme="majorHAnsi" w:hAnsiTheme="majorHAnsi" w:cstheme="majorHAnsi"/>
          <w:b/>
          <w:bCs/>
        </w:rPr>
        <w:t>Capps, J.</w:t>
      </w:r>
      <w:r w:rsidRPr="002318FB">
        <w:rPr>
          <w:rFonts w:asciiTheme="majorHAnsi" w:hAnsiTheme="majorHAnsi" w:cstheme="majorHAnsi"/>
        </w:rPr>
        <w:t xml:space="preserve"> (2018) ‘Even worse than it seems: Transformative experience and the selection problem’, </w:t>
      </w:r>
      <w:r w:rsidRPr="002318FB">
        <w:rPr>
          <w:rFonts w:asciiTheme="majorHAnsi" w:hAnsiTheme="majorHAnsi" w:cstheme="majorHAnsi"/>
          <w:i/>
          <w:iCs/>
        </w:rPr>
        <w:t>Journal of Philosophical Research</w:t>
      </w:r>
      <w:r w:rsidRPr="002318FB">
        <w:rPr>
          <w:rFonts w:asciiTheme="majorHAnsi" w:hAnsiTheme="majorHAnsi" w:cstheme="majorHAnsi"/>
        </w:rPr>
        <w:t>, 43, pp. 113–24.</w:t>
      </w:r>
      <w:r w:rsidRPr="002318FB">
        <w:rPr>
          <w:rFonts w:asciiTheme="majorHAnsi" w:hAnsiTheme="majorHAnsi" w:cstheme="majorHAnsi"/>
        </w:rPr>
        <w:br/>
      </w:r>
      <w:proofErr w:type="spellStart"/>
      <w:r w:rsidRPr="002318FB">
        <w:rPr>
          <w:rFonts w:asciiTheme="majorHAnsi" w:hAnsiTheme="majorHAnsi" w:cstheme="majorHAnsi"/>
          <w:b/>
          <w:bCs/>
        </w:rPr>
        <w:t>Carel</w:t>
      </w:r>
      <w:proofErr w:type="spellEnd"/>
      <w:r w:rsidRPr="002318FB">
        <w:rPr>
          <w:rFonts w:asciiTheme="majorHAnsi" w:hAnsiTheme="majorHAnsi" w:cstheme="majorHAnsi"/>
          <w:b/>
          <w:bCs/>
        </w:rPr>
        <w:t xml:space="preserve">, H., Pettigrew, R. and Kidd, </w:t>
      </w:r>
      <w:proofErr w:type="spellStart"/>
      <w:r w:rsidRPr="002318FB">
        <w:rPr>
          <w:rFonts w:asciiTheme="majorHAnsi" w:hAnsiTheme="majorHAnsi" w:cstheme="majorHAnsi"/>
          <w:b/>
          <w:bCs/>
        </w:rPr>
        <w:t>I.J</w:t>
      </w:r>
      <w:proofErr w:type="spellEnd"/>
      <w:r w:rsidRPr="002318FB">
        <w:rPr>
          <w:rFonts w:asciiTheme="majorHAnsi" w:hAnsiTheme="majorHAnsi" w:cstheme="majorHAnsi"/>
          <w:b/>
          <w:bCs/>
        </w:rPr>
        <w:t>.</w:t>
      </w:r>
      <w:r w:rsidRPr="002318FB">
        <w:rPr>
          <w:rFonts w:asciiTheme="majorHAnsi" w:hAnsiTheme="majorHAnsi" w:cstheme="majorHAnsi"/>
        </w:rPr>
        <w:t xml:space="preserve"> (2017) ‘Illness as transformative experience’, </w:t>
      </w:r>
      <w:r w:rsidRPr="002318FB">
        <w:rPr>
          <w:rFonts w:asciiTheme="majorHAnsi" w:hAnsiTheme="majorHAnsi" w:cstheme="majorHAnsi"/>
          <w:i/>
          <w:iCs/>
        </w:rPr>
        <w:t>Lancet</w:t>
      </w:r>
      <w:r w:rsidRPr="002318FB">
        <w:rPr>
          <w:rFonts w:asciiTheme="majorHAnsi" w:hAnsiTheme="majorHAnsi" w:cstheme="majorHAnsi"/>
        </w:rPr>
        <w:t>, 388, pp. 1152–3.</w:t>
      </w:r>
      <w:r w:rsidRPr="002318FB">
        <w:rPr>
          <w:rFonts w:asciiTheme="majorHAnsi" w:hAnsiTheme="majorHAnsi" w:cstheme="majorHAnsi"/>
        </w:rPr>
        <w:br/>
      </w:r>
      <w:r w:rsidRPr="002318FB">
        <w:rPr>
          <w:rFonts w:asciiTheme="majorHAnsi" w:hAnsiTheme="majorHAnsi" w:cstheme="majorHAnsi"/>
          <w:b/>
          <w:bCs/>
        </w:rPr>
        <w:t>Carr, J.</w:t>
      </w:r>
      <w:r w:rsidRPr="002318FB">
        <w:rPr>
          <w:rFonts w:asciiTheme="majorHAnsi" w:hAnsiTheme="majorHAnsi" w:cstheme="majorHAnsi"/>
        </w:rPr>
        <w:t xml:space="preserve"> (2015) ‘Epistemic expansions’,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92, pp. 217–36.</w:t>
      </w:r>
      <w:r w:rsidRPr="002318FB">
        <w:rPr>
          <w:rFonts w:asciiTheme="majorHAnsi" w:hAnsiTheme="majorHAnsi" w:cstheme="majorHAnsi"/>
        </w:rPr>
        <w:br/>
      </w:r>
      <w:proofErr w:type="spellStart"/>
      <w:r w:rsidRPr="002318FB">
        <w:rPr>
          <w:rFonts w:asciiTheme="majorHAnsi" w:hAnsiTheme="majorHAnsi" w:cstheme="majorHAnsi"/>
          <w:b/>
          <w:bCs/>
        </w:rPr>
        <w:t>Carsey</w:t>
      </w:r>
      <w:proofErr w:type="spellEnd"/>
      <w:r w:rsidRPr="002318FB">
        <w:rPr>
          <w:rFonts w:asciiTheme="majorHAnsi" w:hAnsiTheme="majorHAnsi" w:cstheme="majorHAnsi"/>
          <w:b/>
          <w:bCs/>
        </w:rPr>
        <w:t>, T.M., Layman, G.C.</w:t>
      </w:r>
      <w:r w:rsidRPr="002318FB">
        <w:rPr>
          <w:rFonts w:asciiTheme="majorHAnsi" w:hAnsiTheme="majorHAnsi" w:cstheme="majorHAnsi"/>
        </w:rPr>
        <w:t xml:space="preserve"> (1999). A Dynamic Model of Political Change Among Party Activists. </w:t>
      </w:r>
      <w:r w:rsidRPr="002318FB">
        <w:rPr>
          <w:rFonts w:asciiTheme="majorHAnsi" w:hAnsiTheme="majorHAnsi" w:cstheme="majorHAnsi"/>
          <w:i/>
          <w:iCs/>
        </w:rPr>
        <w:t>Political Behavior</w:t>
      </w:r>
      <w:r w:rsidRPr="002318FB">
        <w:rPr>
          <w:rFonts w:asciiTheme="majorHAnsi" w:hAnsiTheme="majorHAnsi" w:cstheme="majorHAnsi"/>
        </w:rPr>
        <w:t xml:space="preserve">, 21, 17–41. </w:t>
      </w:r>
      <w:hyperlink r:id="rId10" w:tgtFrame="_new" w:history="1">
        <w:r w:rsidRPr="002318FB">
          <w:rPr>
            <w:rStyle w:val="Hyperlink"/>
            <w:rFonts w:asciiTheme="majorHAnsi" w:hAnsiTheme="majorHAnsi" w:cstheme="majorHAnsi"/>
          </w:rPr>
          <w:t>https://doi.org/10.1023/A:1023344412661</w:t>
        </w:r>
      </w:hyperlink>
      <w:r w:rsidRPr="002318FB">
        <w:rPr>
          <w:rFonts w:asciiTheme="majorHAnsi" w:hAnsiTheme="majorHAnsi" w:cstheme="majorHAnsi"/>
        </w:rPr>
        <w:br/>
      </w:r>
      <w:r w:rsidRPr="002318FB">
        <w:rPr>
          <w:rFonts w:asciiTheme="majorHAnsi" w:hAnsiTheme="majorHAnsi" w:cstheme="majorHAnsi"/>
          <w:b/>
          <w:bCs/>
        </w:rPr>
        <w:t>Chang, R.</w:t>
      </w:r>
      <w:r w:rsidRPr="002318FB">
        <w:rPr>
          <w:rFonts w:asciiTheme="majorHAnsi" w:hAnsiTheme="majorHAnsi" w:cstheme="majorHAnsi"/>
        </w:rPr>
        <w:t xml:space="preserve"> (2015) ‘Transformative choices’,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92, pp. 237–82.</w:t>
      </w:r>
      <w:r w:rsidRPr="002318FB">
        <w:rPr>
          <w:rFonts w:asciiTheme="majorHAnsi" w:hAnsiTheme="majorHAnsi" w:cstheme="majorHAnsi"/>
        </w:rPr>
        <w:br/>
      </w:r>
      <w:r w:rsidRPr="002318FB">
        <w:rPr>
          <w:rFonts w:asciiTheme="majorHAnsi" w:hAnsiTheme="majorHAnsi" w:cstheme="majorHAnsi"/>
          <w:b/>
          <w:bCs/>
        </w:rPr>
        <w:t>Chan, R.</w:t>
      </w:r>
      <w:r w:rsidRPr="002318FB">
        <w:rPr>
          <w:rFonts w:asciiTheme="majorHAnsi" w:hAnsiTheme="majorHAnsi" w:cstheme="majorHAnsi"/>
        </w:rPr>
        <w:t xml:space="preserve"> (2016) ‘Religious experience, voluntarist reasons, and the transformative experience puzzle’,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93, pp. 269–87.</w:t>
      </w:r>
      <w:r w:rsidRPr="002318FB">
        <w:rPr>
          <w:rFonts w:asciiTheme="majorHAnsi" w:hAnsiTheme="majorHAnsi" w:cstheme="majorHAnsi"/>
        </w:rPr>
        <w:br/>
      </w:r>
      <w:proofErr w:type="spellStart"/>
      <w:r w:rsidRPr="002318FB">
        <w:rPr>
          <w:rFonts w:asciiTheme="majorHAnsi" w:hAnsiTheme="majorHAnsi" w:cstheme="majorHAnsi"/>
          <w:b/>
          <w:bCs/>
          <w:lang w:val="fr-FR"/>
        </w:rPr>
        <w:t>Chapoutot</w:t>
      </w:r>
      <w:proofErr w:type="spellEnd"/>
      <w:r w:rsidRPr="002318FB">
        <w:rPr>
          <w:rFonts w:asciiTheme="majorHAnsi" w:hAnsiTheme="majorHAnsi" w:cstheme="majorHAnsi"/>
          <w:b/>
          <w:bCs/>
          <w:lang w:val="fr-FR"/>
        </w:rPr>
        <w:t>, J.</w:t>
      </w:r>
      <w:r w:rsidRPr="002318FB">
        <w:rPr>
          <w:rFonts w:asciiTheme="majorHAnsi" w:hAnsiTheme="majorHAnsi" w:cstheme="majorHAnsi"/>
          <w:lang w:val="fr-FR"/>
        </w:rPr>
        <w:t xml:space="preserve"> (2017) </w:t>
      </w:r>
      <w:r w:rsidRPr="002318FB">
        <w:rPr>
          <w:rFonts w:asciiTheme="majorHAnsi" w:hAnsiTheme="majorHAnsi" w:cstheme="majorHAnsi"/>
          <w:i/>
          <w:iCs/>
          <w:lang w:val="fr-FR"/>
        </w:rPr>
        <w:t>La Révolution culturelle nazie</w:t>
      </w:r>
      <w:r w:rsidRPr="002318FB">
        <w:rPr>
          <w:rFonts w:asciiTheme="majorHAnsi" w:hAnsiTheme="majorHAnsi" w:cstheme="majorHAnsi"/>
          <w:lang w:val="fr-FR"/>
        </w:rPr>
        <w:t xml:space="preserve">. </w:t>
      </w:r>
      <w:proofErr w:type="gramStart"/>
      <w:r w:rsidRPr="002318FB">
        <w:rPr>
          <w:rFonts w:asciiTheme="majorHAnsi" w:hAnsiTheme="majorHAnsi" w:cstheme="majorHAnsi"/>
          <w:lang w:val="fr-FR"/>
        </w:rPr>
        <w:t>Paris:</w:t>
      </w:r>
      <w:proofErr w:type="gramEnd"/>
      <w:r w:rsidRPr="002318FB">
        <w:rPr>
          <w:rFonts w:asciiTheme="majorHAnsi" w:hAnsiTheme="majorHAnsi" w:cstheme="majorHAnsi"/>
          <w:lang w:val="fr-FR"/>
        </w:rPr>
        <w:t xml:space="preserve"> Gallimard.</w:t>
      </w:r>
      <w:r w:rsidRPr="002318FB">
        <w:rPr>
          <w:rFonts w:asciiTheme="majorHAnsi" w:hAnsiTheme="majorHAnsi" w:cstheme="majorHAnsi"/>
          <w:lang w:val="fr-FR"/>
        </w:rPr>
        <w:br/>
      </w:r>
      <w:r w:rsidRPr="002318FB">
        <w:rPr>
          <w:rFonts w:asciiTheme="majorHAnsi" w:hAnsiTheme="majorHAnsi" w:cstheme="majorHAnsi"/>
          <w:b/>
          <w:bCs/>
          <w:lang w:val="fr-FR"/>
        </w:rPr>
        <w:t>Clark, J. A., Bruce, J. M., Kessel, J. H., &amp; Jacoby, W. G.</w:t>
      </w:r>
      <w:r w:rsidRPr="002318FB">
        <w:rPr>
          <w:rFonts w:asciiTheme="majorHAnsi" w:hAnsiTheme="majorHAnsi" w:cstheme="majorHAnsi"/>
          <w:lang w:val="fr-FR"/>
        </w:rPr>
        <w:t xml:space="preserve"> (1991). </w:t>
      </w:r>
      <w:r w:rsidRPr="002318FB">
        <w:rPr>
          <w:rFonts w:asciiTheme="majorHAnsi" w:hAnsiTheme="majorHAnsi" w:cstheme="majorHAnsi"/>
        </w:rPr>
        <w:t xml:space="preserve">I’d Rather Switch than Fight: Lifelong Democrats and Converts to Republicanism among Campaign Activists. </w:t>
      </w:r>
      <w:r w:rsidRPr="002318FB">
        <w:rPr>
          <w:rFonts w:asciiTheme="majorHAnsi" w:hAnsiTheme="majorHAnsi" w:cstheme="majorHAnsi"/>
          <w:i/>
          <w:iCs/>
        </w:rPr>
        <w:t>American Journal of Political Science</w:t>
      </w:r>
      <w:r w:rsidRPr="002318FB">
        <w:rPr>
          <w:rFonts w:asciiTheme="majorHAnsi" w:hAnsiTheme="majorHAnsi" w:cstheme="majorHAnsi"/>
        </w:rPr>
        <w:t xml:space="preserve">, 35(3), 577–597. </w:t>
      </w:r>
      <w:hyperlink r:id="rId11" w:tgtFrame="_new" w:history="1">
        <w:r w:rsidRPr="002318FB">
          <w:rPr>
            <w:rStyle w:val="Hyperlink"/>
            <w:rFonts w:asciiTheme="majorHAnsi" w:hAnsiTheme="majorHAnsi" w:cstheme="majorHAnsi"/>
          </w:rPr>
          <w:t>https://doi.org/10.2307/2111554</w:t>
        </w:r>
      </w:hyperlink>
      <w:r w:rsidRPr="002318FB">
        <w:rPr>
          <w:rFonts w:asciiTheme="majorHAnsi" w:hAnsiTheme="majorHAnsi" w:cstheme="majorHAnsi"/>
        </w:rPr>
        <w:br/>
      </w:r>
      <w:r w:rsidRPr="002318FB">
        <w:rPr>
          <w:rFonts w:asciiTheme="majorHAnsi" w:hAnsiTheme="majorHAnsi" w:cstheme="majorHAnsi"/>
          <w:b/>
          <w:bCs/>
        </w:rPr>
        <w:t>Cohen, S.</w:t>
      </w:r>
      <w:r w:rsidRPr="002318FB">
        <w:rPr>
          <w:rFonts w:asciiTheme="majorHAnsi" w:hAnsiTheme="majorHAnsi" w:cstheme="majorHAnsi"/>
        </w:rPr>
        <w:t xml:space="preserve"> (1972). </w:t>
      </w:r>
      <w:r w:rsidRPr="002318FB">
        <w:rPr>
          <w:rFonts w:asciiTheme="majorHAnsi" w:hAnsiTheme="majorHAnsi" w:cstheme="majorHAnsi"/>
          <w:i/>
          <w:iCs/>
        </w:rPr>
        <w:t>Folk Devils and Moral Panics: The Creation of the Mods and Rockers</w:t>
      </w:r>
      <w:r w:rsidRPr="002318FB">
        <w:rPr>
          <w:rFonts w:asciiTheme="majorHAnsi" w:hAnsiTheme="majorHAnsi" w:cstheme="majorHAnsi"/>
        </w:rPr>
        <w:t>. Routledge.</w:t>
      </w:r>
      <w:r w:rsidRPr="002318FB">
        <w:rPr>
          <w:rFonts w:asciiTheme="majorHAnsi" w:hAnsiTheme="majorHAnsi" w:cstheme="majorHAnsi"/>
        </w:rPr>
        <w:br/>
      </w:r>
      <w:r w:rsidRPr="002318FB">
        <w:rPr>
          <w:rFonts w:asciiTheme="majorHAnsi" w:hAnsiTheme="majorHAnsi" w:cstheme="majorHAnsi"/>
          <w:b/>
          <w:bCs/>
        </w:rPr>
        <w:t>Creswell, J. W., &amp; Plano Clark, V. L.</w:t>
      </w:r>
      <w:r w:rsidRPr="002318FB">
        <w:rPr>
          <w:rFonts w:asciiTheme="majorHAnsi" w:hAnsiTheme="majorHAnsi" w:cstheme="majorHAnsi"/>
        </w:rPr>
        <w:t xml:space="preserve"> (2017). </w:t>
      </w:r>
      <w:r w:rsidRPr="002318FB">
        <w:rPr>
          <w:rFonts w:asciiTheme="majorHAnsi" w:hAnsiTheme="majorHAnsi" w:cstheme="majorHAnsi"/>
          <w:i/>
          <w:iCs/>
        </w:rPr>
        <w:t>Designing and Conducting Mixed Methods Research</w:t>
      </w:r>
      <w:r w:rsidRPr="002318FB">
        <w:rPr>
          <w:rFonts w:asciiTheme="majorHAnsi" w:hAnsiTheme="majorHAnsi" w:cstheme="majorHAnsi"/>
        </w:rPr>
        <w:t xml:space="preserve"> (3rd ed.). SAGE Publications.</w:t>
      </w:r>
      <w:r w:rsidRPr="002318FB">
        <w:rPr>
          <w:rFonts w:asciiTheme="majorHAnsi" w:hAnsiTheme="majorHAnsi" w:cstheme="majorHAnsi"/>
        </w:rPr>
        <w:br/>
      </w:r>
      <w:r w:rsidRPr="002318FB">
        <w:rPr>
          <w:rFonts w:asciiTheme="majorHAnsi" w:hAnsiTheme="majorHAnsi" w:cstheme="majorHAnsi"/>
          <w:b/>
          <w:bCs/>
        </w:rPr>
        <w:t>Davison, G. C., &amp; Walden, K. R.</w:t>
      </w:r>
      <w:r w:rsidRPr="002318FB">
        <w:rPr>
          <w:rFonts w:asciiTheme="majorHAnsi" w:hAnsiTheme="majorHAnsi" w:cstheme="majorHAnsi"/>
        </w:rPr>
        <w:t xml:space="preserve"> (2024). History and Iatrogenic Effects of Conversion Therapy. </w:t>
      </w:r>
      <w:r w:rsidRPr="002318FB">
        <w:rPr>
          <w:rFonts w:asciiTheme="majorHAnsi" w:hAnsiTheme="majorHAnsi" w:cstheme="majorHAnsi"/>
          <w:i/>
          <w:iCs/>
        </w:rPr>
        <w:t>Annual Review of Clinical Psychology</w:t>
      </w:r>
      <w:r w:rsidRPr="002318FB">
        <w:rPr>
          <w:rFonts w:asciiTheme="majorHAnsi" w:hAnsiTheme="majorHAnsi" w:cstheme="majorHAnsi"/>
        </w:rPr>
        <w:t>, 20.</w:t>
      </w:r>
      <w:r w:rsidRPr="002318FB">
        <w:rPr>
          <w:rFonts w:asciiTheme="majorHAnsi" w:hAnsiTheme="majorHAnsi" w:cstheme="majorHAnsi"/>
        </w:rPr>
        <w:br/>
      </w:r>
      <w:proofErr w:type="spellStart"/>
      <w:r w:rsidRPr="002318FB">
        <w:rPr>
          <w:rFonts w:asciiTheme="majorHAnsi" w:hAnsiTheme="majorHAnsi" w:cstheme="majorHAnsi"/>
          <w:b/>
          <w:bCs/>
        </w:rPr>
        <w:t>Dejean</w:t>
      </w:r>
      <w:proofErr w:type="spellEnd"/>
      <w:r w:rsidRPr="002318FB">
        <w:rPr>
          <w:rFonts w:asciiTheme="majorHAnsi" w:hAnsiTheme="majorHAnsi" w:cstheme="majorHAnsi"/>
          <w:b/>
          <w:bCs/>
        </w:rPr>
        <w:t>, F.</w:t>
      </w:r>
      <w:r w:rsidRPr="002318FB">
        <w:rPr>
          <w:rFonts w:asciiTheme="majorHAnsi" w:hAnsiTheme="majorHAnsi" w:cstheme="majorHAnsi"/>
        </w:rPr>
        <w:t xml:space="preserve"> (2022). </w:t>
      </w:r>
      <w:r w:rsidRPr="002318FB">
        <w:rPr>
          <w:rFonts w:asciiTheme="majorHAnsi" w:hAnsiTheme="majorHAnsi" w:cstheme="majorHAnsi"/>
          <w:lang w:val="fr-FR"/>
        </w:rPr>
        <w:t xml:space="preserve">L’analogie religieuse dans la critique du </w:t>
      </w:r>
      <w:proofErr w:type="spellStart"/>
      <w:r w:rsidRPr="002318FB">
        <w:rPr>
          <w:rFonts w:asciiTheme="majorHAnsi" w:hAnsiTheme="majorHAnsi" w:cstheme="majorHAnsi"/>
          <w:lang w:val="fr-FR"/>
        </w:rPr>
        <w:t>wokisme</w:t>
      </w:r>
      <w:proofErr w:type="spellEnd"/>
      <w:r w:rsidRPr="002318FB">
        <w:rPr>
          <w:rFonts w:asciiTheme="majorHAnsi" w:hAnsiTheme="majorHAnsi" w:cstheme="majorHAnsi"/>
          <w:lang w:val="fr-FR"/>
        </w:rPr>
        <w:t xml:space="preserve">. </w:t>
      </w:r>
      <w:r w:rsidRPr="002318FB">
        <w:rPr>
          <w:rFonts w:asciiTheme="majorHAnsi" w:hAnsiTheme="majorHAnsi" w:cstheme="majorHAnsi"/>
          <w:i/>
          <w:iCs/>
          <w:lang w:val="fr-FR"/>
        </w:rPr>
        <w:t>La Vie des idées</w:t>
      </w:r>
      <w:r w:rsidRPr="002318FB">
        <w:rPr>
          <w:rFonts w:asciiTheme="majorHAnsi" w:hAnsiTheme="majorHAnsi" w:cstheme="majorHAnsi"/>
          <w:lang w:val="fr-FR"/>
        </w:rPr>
        <w:t>, 8.</w:t>
      </w:r>
      <w:r w:rsidRPr="002318FB">
        <w:rPr>
          <w:rFonts w:asciiTheme="majorHAnsi" w:hAnsiTheme="majorHAnsi" w:cstheme="majorHAnsi"/>
          <w:lang w:val="fr-FR"/>
        </w:rPr>
        <w:br/>
      </w:r>
      <w:proofErr w:type="spellStart"/>
      <w:r w:rsidRPr="002318FB">
        <w:rPr>
          <w:rFonts w:asciiTheme="majorHAnsi" w:hAnsiTheme="majorHAnsi" w:cstheme="majorHAnsi"/>
          <w:b/>
          <w:bCs/>
        </w:rPr>
        <w:t>Despotis</w:t>
      </w:r>
      <w:proofErr w:type="spellEnd"/>
      <w:r w:rsidRPr="002318FB">
        <w:rPr>
          <w:rFonts w:asciiTheme="majorHAnsi" w:hAnsiTheme="majorHAnsi" w:cstheme="majorHAnsi"/>
          <w:b/>
          <w:bCs/>
        </w:rPr>
        <w:t xml:space="preserve">, A. and </w:t>
      </w:r>
      <w:proofErr w:type="spellStart"/>
      <w:r w:rsidRPr="002318FB">
        <w:rPr>
          <w:rFonts w:asciiTheme="majorHAnsi" w:hAnsiTheme="majorHAnsi" w:cstheme="majorHAnsi"/>
          <w:b/>
          <w:bCs/>
        </w:rPr>
        <w:t>Löhr</w:t>
      </w:r>
      <w:proofErr w:type="spellEnd"/>
      <w:r w:rsidRPr="002318FB">
        <w:rPr>
          <w:rFonts w:asciiTheme="majorHAnsi" w:hAnsiTheme="majorHAnsi" w:cstheme="majorHAnsi"/>
          <w:b/>
          <w:bCs/>
        </w:rPr>
        <w:t>, H. (eds.)</w:t>
      </w:r>
      <w:r w:rsidRPr="002318FB">
        <w:rPr>
          <w:rFonts w:asciiTheme="majorHAnsi" w:hAnsiTheme="majorHAnsi" w:cstheme="majorHAnsi"/>
        </w:rPr>
        <w:t xml:space="preserve"> (2022) </w:t>
      </w:r>
      <w:r w:rsidRPr="002318FB">
        <w:rPr>
          <w:rFonts w:asciiTheme="majorHAnsi" w:hAnsiTheme="majorHAnsi" w:cstheme="majorHAnsi"/>
          <w:i/>
          <w:iCs/>
        </w:rPr>
        <w:t>Religious and philosophical conversion in the ancient Mediterranean traditions</w:t>
      </w:r>
      <w:r w:rsidRPr="002318FB">
        <w:rPr>
          <w:rFonts w:asciiTheme="majorHAnsi" w:hAnsiTheme="majorHAnsi" w:cstheme="majorHAnsi"/>
        </w:rPr>
        <w:t xml:space="preserve">. Leiden: Brill. </w:t>
      </w:r>
      <w:hyperlink r:id="rId12" w:tgtFrame="_new" w:history="1">
        <w:r w:rsidRPr="002318FB">
          <w:rPr>
            <w:rStyle w:val="Hyperlink"/>
            <w:rFonts w:asciiTheme="majorHAnsi" w:hAnsiTheme="majorHAnsi" w:cstheme="majorHAnsi"/>
          </w:rPr>
          <w:t>https://doi.org/10.1163/9789004501775</w:t>
        </w:r>
      </w:hyperlink>
      <w:r w:rsidRPr="002318FB">
        <w:rPr>
          <w:rFonts w:asciiTheme="majorHAnsi" w:hAnsiTheme="majorHAnsi" w:cstheme="majorHAnsi"/>
        </w:rPr>
        <w:t>.</w:t>
      </w:r>
      <w:r w:rsidRPr="002318FB">
        <w:rPr>
          <w:rFonts w:asciiTheme="majorHAnsi" w:hAnsiTheme="majorHAnsi" w:cstheme="majorHAnsi"/>
        </w:rPr>
        <w:br/>
      </w:r>
      <w:proofErr w:type="spellStart"/>
      <w:r w:rsidRPr="002318FB">
        <w:rPr>
          <w:rFonts w:asciiTheme="majorHAnsi" w:hAnsiTheme="majorHAnsi" w:cstheme="majorHAnsi"/>
          <w:b/>
          <w:bCs/>
        </w:rPr>
        <w:t>Doosje</w:t>
      </w:r>
      <w:proofErr w:type="spellEnd"/>
      <w:r w:rsidRPr="002318FB">
        <w:rPr>
          <w:rFonts w:asciiTheme="majorHAnsi" w:hAnsiTheme="majorHAnsi" w:cstheme="majorHAnsi"/>
          <w:b/>
          <w:bCs/>
        </w:rPr>
        <w:t xml:space="preserve">, B., </w:t>
      </w:r>
      <w:proofErr w:type="spellStart"/>
      <w:r w:rsidRPr="002318FB">
        <w:rPr>
          <w:rFonts w:asciiTheme="majorHAnsi" w:hAnsiTheme="majorHAnsi" w:cstheme="majorHAnsi"/>
          <w:b/>
          <w:bCs/>
        </w:rPr>
        <w:t>Loseman</w:t>
      </w:r>
      <w:proofErr w:type="spellEnd"/>
      <w:r w:rsidRPr="002318FB">
        <w:rPr>
          <w:rFonts w:asciiTheme="majorHAnsi" w:hAnsiTheme="majorHAnsi" w:cstheme="majorHAnsi"/>
          <w:b/>
          <w:bCs/>
        </w:rPr>
        <w:t>, A. and Van Den Bos, K.</w:t>
      </w:r>
      <w:r w:rsidRPr="002318FB">
        <w:rPr>
          <w:rFonts w:asciiTheme="majorHAnsi" w:hAnsiTheme="majorHAnsi" w:cstheme="majorHAnsi"/>
        </w:rPr>
        <w:t xml:space="preserve"> (2013) ‘Determinants of radicalization of Islamic youth in the Netherlands’, </w:t>
      </w:r>
      <w:r w:rsidRPr="002318FB">
        <w:rPr>
          <w:rFonts w:asciiTheme="majorHAnsi" w:hAnsiTheme="majorHAnsi" w:cstheme="majorHAnsi"/>
          <w:i/>
          <w:iCs/>
        </w:rPr>
        <w:t>Journal of Social Issues</w:t>
      </w:r>
      <w:r w:rsidRPr="002318FB">
        <w:rPr>
          <w:rFonts w:asciiTheme="majorHAnsi" w:hAnsiTheme="majorHAnsi" w:cstheme="majorHAnsi"/>
        </w:rPr>
        <w:t>, 69(3), pp. 586-604.</w:t>
      </w:r>
      <w:r w:rsidRPr="002318FB">
        <w:rPr>
          <w:rFonts w:asciiTheme="majorHAnsi" w:hAnsiTheme="majorHAnsi" w:cstheme="majorHAnsi"/>
        </w:rPr>
        <w:br/>
      </w:r>
      <w:r w:rsidRPr="002318FB">
        <w:rPr>
          <w:rFonts w:asciiTheme="majorHAnsi" w:hAnsiTheme="majorHAnsi" w:cstheme="majorHAnsi"/>
          <w:b/>
          <w:bCs/>
        </w:rPr>
        <w:t>Doyle, W.</w:t>
      </w:r>
      <w:r w:rsidRPr="002318FB">
        <w:rPr>
          <w:rFonts w:asciiTheme="majorHAnsi" w:hAnsiTheme="majorHAnsi" w:cstheme="majorHAnsi"/>
        </w:rPr>
        <w:t xml:space="preserve"> (1980) </w:t>
      </w:r>
      <w:r w:rsidRPr="002318FB">
        <w:rPr>
          <w:rFonts w:asciiTheme="majorHAnsi" w:hAnsiTheme="majorHAnsi" w:cstheme="majorHAnsi"/>
          <w:i/>
          <w:iCs/>
        </w:rPr>
        <w:t>The Oxford history of the French Revolution</w:t>
      </w:r>
      <w:r w:rsidRPr="002318FB">
        <w:rPr>
          <w:rFonts w:asciiTheme="majorHAnsi" w:hAnsiTheme="majorHAnsi" w:cstheme="majorHAnsi"/>
        </w:rPr>
        <w:t>. Oxford: Oxford University Press.</w:t>
      </w:r>
      <w:r w:rsidRPr="002318FB">
        <w:rPr>
          <w:rFonts w:asciiTheme="majorHAnsi" w:hAnsiTheme="majorHAnsi" w:cstheme="majorHAnsi"/>
        </w:rPr>
        <w:br/>
      </w:r>
      <w:proofErr w:type="spellStart"/>
      <w:r w:rsidRPr="002318FB">
        <w:rPr>
          <w:rFonts w:asciiTheme="majorHAnsi" w:hAnsiTheme="majorHAnsi" w:cstheme="majorHAnsi"/>
          <w:b/>
          <w:bCs/>
        </w:rPr>
        <w:t>Ellwanger</w:t>
      </w:r>
      <w:proofErr w:type="spellEnd"/>
      <w:r w:rsidRPr="002318FB">
        <w:rPr>
          <w:rFonts w:asciiTheme="majorHAnsi" w:hAnsiTheme="majorHAnsi" w:cstheme="majorHAnsi"/>
          <w:b/>
          <w:bCs/>
        </w:rPr>
        <w:t>, A.</w:t>
      </w:r>
      <w:r w:rsidRPr="002318FB">
        <w:rPr>
          <w:rFonts w:asciiTheme="majorHAnsi" w:hAnsiTheme="majorHAnsi" w:cstheme="majorHAnsi"/>
        </w:rPr>
        <w:t xml:space="preserve"> (2012) ‘Apology as </w:t>
      </w:r>
      <w:proofErr w:type="spellStart"/>
      <w:r w:rsidRPr="002318FB">
        <w:rPr>
          <w:rFonts w:asciiTheme="majorHAnsi" w:hAnsiTheme="majorHAnsi" w:cstheme="majorHAnsi"/>
        </w:rPr>
        <w:t>metanoic</w:t>
      </w:r>
      <w:proofErr w:type="spellEnd"/>
      <w:r w:rsidRPr="002318FB">
        <w:rPr>
          <w:rFonts w:asciiTheme="majorHAnsi" w:hAnsiTheme="majorHAnsi" w:cstheme="majorHAnsi"/>
        </w:rPr>
        <w:t xml:space="preserve"> performance’, </w:t>
      </w:r>
      <w:r w:rsidRPr="002318FB">
        <w:rPr>
          <w:rFonts w:asciiTheme="majorHAnsi" w:hAnsiTheme="majorHAnsi" w:cstheme="majorHAnsi"/>
          <w:i/>
          <w:iCs/>
        </w:rPr>
        <w:t>Rhetoric Society Quarterly</w:t>
      </w:r>
      <w:r w:rsidRPr="002318FB">
        <w:rPr>
          <w:rFonts w:asciiTheme="majorHAnsi" w:hAnsiTheme="majorHAnsi" w:cstheme="majorHAnsi"/>
        </w:rPr>
        <w:t>, 42(4), pp. 307-329.</w:t>
      </w:r>
      <w:r w:rsidRPr="002318FB">
        <w:rPr>
          <w:rFonts w:asciiTheme="majorHAnsi" w:hAnsiTheme="majorHAnsi" w:cstheme="majorHAnsi"/>
        </w:rPr>
        <w:br/>
      </w:r>
      <w:proofErr w:type="spellStart"/>
      <w:r w:rsidRPr="002318FB">
        <w:rPr>
          <w:rFonts w:asciiTheme="majorHAnsi" w:hAnsiTheme="majorHAnsi" w:cstheme="majorHAnsi"/>
          <w:b/>
          <w:bCs/>
        </w:rPr>
        <w:t>Ellwanger</w:t>
      </w:r>
      <w:proofErr w:type="spellEnd"/>
      <w:r w:rsidRPr="002318FB">
        <w:rPr>
          <w:rFonts w:asciiTheme="majorHAnsi" w:hAnsiTheme="majorHAnsi" w:cstheme="majorHAnsi"/>
          <w:b/>
          <w:bCs/>
        </w:rPr>
        <w:t>, A.</w:t>
      </w:r>
      <w:r w:rsidRPr="002318FB">
        <w:rPr>
          <w:rFonts w:asciiTheme="majorHAnsi" w:hAnsiTheme="majorHAnsi" w:cstheme="majorHAnsi"/>
        </w:rPr>
        <w:t xml:space="preserve"> (2020) </w:t>
      </w:r>
      <w:r w:rsidRPr="002318FB">
        <w:rPr>
          <w:rFonts w:asciiTheme="majorHAnsi" w:hAnsiTheme="majorHAnsi" w:cstheme="majorHAnsi"/>
          <w:i/>
          <w:iCs/>
        </w:rPr>
        <w:t>Metanoia: Rhetoric, authenticity, and the transformation of the self</w:t>
      </w:r>
      <w:r w:rsidRPr="002318FB">
        <w:rPr>
          <w:rFonts w:asciiTheme="majorHAnsi" w:hAnsiTheme="majorHAnsi" w:cstheme="majorHAnsi"/>
        </w:rPr>
        <w:t>. University Park, PA: Penn State Press.</w:t>
      </w:r>
      <w:r w:rsidRPr="002318FB">
        <w:rPr>
          <w:rFonts w:asciiTheme="majorHAnsi" w:hAnsiTheme="majorHAnsi" w:cstheme="majorHAnsi"/>
        </w:rPr>
        <w:br/>
      </w:r>
      <w:proofErr w:type="spellStart"/>
      <w:r w:rsidRPr="002318FB">
        <w:rPr>
          <w:rFonts w:asciiTheme="majorHAnsi" w:hAnsiTheme="majorHAnsi" w:cstheme="majorHAnsi"/>
          <w:b/>
          <w:bCs/>
        </w:rPr>
        <w:t>Espín</w:t>
      </w:r>
      <w:proofErr w:type="spellEnd"/>
      <w:r w:rsidRPr="002318FB">
        <w:rPr>
          <w:rFonts w:asciiTheme="majorHAnsi" w:hAnsiTheme="majorHAnsi" w:cstheme="majorHAnsi"/>
          <w:b/>
          <w:bCs/>
        </w:rPr>
        <w:t xml:space="preserve">-Sánchez, J.-A., DeLuca, K., Zang, E., McCoy, T., &amp; </w:t>
      </w:r>
      <w:proofErr w:type="spellStart"/>
      <w:r w:rsidRPr="002318FB">
        <w:rPr>
          <w:rFonts w:asciiTheme="majorHAnsi" w:hAnsiTheme="majorHAnsi" w:cstheme="majorHAnsi"/>
          <w:b/>
          <w:bCs/>
        </w:rPr>
        <w:t>Kovács</w:t>
      </w:r>
      <w:proofErr w:type="spellEnd"/>
      <w:r w:rsidRPr="002318FB">
        <w:rPr>
          <w:rFonts w:asciiTheme="majorHAnsi" w:hAnsiTheme="majorHAnsi" w:cstheme="majorHAnsi"/>
          <w:b/>
          <w:bCs/>
        </w:rPr>
        <w:t>, B.</w:t>
      </w:r>
      <w:r w:rsidRPr="002318FB">
        <w:rPr>
          <w:rFonts w:asciiTheme="majorHAnsi" w:hAnsiTheme="majorHAnsi" w:cstheme="majorHAnsi"/>
        </w:rPr>
        <w:t xml:space="preserve"> (2024). AI Accelerates Research Across Social Sciences. </w:t>
      </w:r>
      <w:r w:rsidRPr="002318FB">
        <w:rPr>
          <w:rFonts w:asciiTheme="majorHAnsi" w:hAnsiTheme="majorHAnsi" w:cstheme="majorHAnsi"/>
          <w:i/>
          <w:iCs/>
        </w:rPr>
        <w:t>Institution for Social and Policy Studies Blog</w:t>
      </w:r>
      <w:r w:rsidRPr="002318FB">
        <w:rPr>
          <w:rFonts w:asciiTheme="majorHAnsi" w:hAnsiTheme="majorHAnsi" w:cstheme="majorHAnsi"/>
        </w:rPr>
        <w:t>.</w:t>
      </w:r>
      <w:r w:rsidRPr="002318FB">
        <w:rPr>
          <w:rFonts w:asciiTheme="majorHAnsi" w:hAnsiTheme="majorHAnsi" w:cstheme="majorHAnsi"/>
        </w:rPr>
        <w:br/>
      </w:r>
      <w:r w:rsidRPr="002318FB">
        <w:rPr>
          <w:rFonts w:asciiTheme="majorHAnsi" w:hAnsiTheme="majorHAnsi" w:cstheme="majorHAnsi"/>
          <w:b/>
          <w:bCs/>
        </w:rPr>
        <w:t>Fishman, R.</w:t>
      </w:r>
      <w:r w:rsidRPr="002318FB">
        <w:rPr>
          <w:rFonts w:asciiTheme="majorHAnsi" w:hAnsiTheme="majorHAnsi" w:cstheme="majorHAnsi"/>
        </w:rPr>
        <w:t xml:space="preserve"> (2011) </w:t>
      </w:r>
      <w:r w:rsidRPr="002318FB">
        <w:rPr>
          <w:rFonts w:asciiTheme="majorHAnsi" w:hAnsiTheme="majorHAnsi" w:cstheme="majorHAnsi"/>
          <w:i/>
          <w:iCs/>
        </w:rPr>
        <w:t>Societal transformations and political change</w:t>
      </w:r>
      <w:r w:rsidRPr="002318FB">
        <w:rPr>
          <w:rFonts w:asciiTheme="majorHAnsi" w:hAnsiTheme="majorHAnsi" w:cstheme="majorHAnsi"/>
        </w:rPr>
        <w:t>.</w:t>
      </w:r>
      <w:r w:rsidRPr="002318FB">
        <w:rPr>
          <w:rFonts w:asciiTheme="majorHAnsi" w:hAnsiTheme="majorHAnsi" w:cstheme="majorHAnsi"/>
        </w:rPr>
        <w:br/>
      </w:r>
      <w:r w:rsidRPr="002318FB">
        <w:rPr>
          <w:rFonts w:asciiTheme="majorHAnsi" w:hAnsiTheme="majorHAnsi" w:cstheme="majorHAnsi"/>
          <w:b/>
          <w:bCs/>
        </w:rPr>
        <w:t>Foley, M.P.</w:t>
      </w:r>
      <w:r w:rsidRPr="002318FB">
        <w:rPr>
          <w:rFonts w:asciiTheme="majorHAnsi" w:hAnsiTheme="majorHAnsi" w:cstheme="majorHAnsi"/>
        </w:rPr>
        <w:t xml:space="preserve"> (2009) ‘Comedy, tragedy, and Saint Thomas More’, </w:t>
      </w:r>
      <w:proofErr w:type="spellStart"/>
      <w:r w:rsidRPr="002318FB">
        <w:rPr>
          <w:rFonts w:asciiTheme="majorHAnsi" w:hAnsiTheme="majorHAnsi" w:cstheme="majorHAnsi"/>
          <w:i/>
          <w:iCs/>
        </w:rPr>
        <w:t>Moreana</w:t>
      </w:r>
      <w:proofErr w:type="spellEnd"/>
      <w:r w:rsidRPr="002318FB">
        <w:rPr>
          <w:rFonts w:asciiTheme="majorHAnsi" w:hAnsiTheme="majorHAnsi" w:cstheme="majorHAnsi"/>
        </w:rPr>
        <w:t>, 46(1), pp. 143-156.</w:t>
      </w:r>
      <w:r w:rsidRPr="002318FB">
        <w:rPr>
          <w:rFonts w:asciiTheme="majorHAnsi" w:hAnsiTheme="majorHAnsi" w:cstheme="majorHAnsi"/>
        </w:rPr>
        <w:br/>
      </w:r>
      <w:r w:rsidRPr="002318FB">
        <w:rPr>
          <w:rFonts w:asciiTheme="majorHAnsi" w:hAnsiTheme="majorHAnsi" w:cstheme="majorHAnsi"/>
          <w:b/>
          <w:bCs/>
        </w:rPr>
        <w:t>Furet, F.</w:t>
      </w:r>
      <w:r w:rsidRPr="002318FB">
        <w:rPr>
          <w:rFonts w:asciiTheme="majorHAnsi" w:hAnsiTheme="majorHAnsi" w:cstheme="majorHAnsi"/>
        </w:rPr>
        <w:t xml:space="preserve"> (1978) </w:t>
      </w:r>
      <w:r w:rsidRPr="002318FB">
        <w:rPr>
          <w:rFonts w:asciiTheme="majorHAnsi" w:hAnsiTheme="majorHAnsi" w:cstheme="majorHAnsi"/>
          <w:i/>
          <w:iCs/>
        </w:rPr>
        <w:t xml:space="preserve">La </w:t>
      </w:r>
      <w:proofErr w:type="spellStart"/>
      <w:r w:rsidRPr="002318FB">
        <w:rPr>
          <w:rFonts w:asciiTheme="majorHAnsi" w:hAnsiTheme="majorHAnsi" w:cstheme="majorHAnsi"/>
          <w:i/>
          <w:iCs/>
        </w:rPr>
        <w:t>Révolution</w:t>
      </w:r>
      <w:proofErr w:type="spellEnd"/>
      <w:r w:rsidRPr="002318FB">
        <w:rPr>
          <w:rFonts w:asciiTheme="majorHAnsi" w:hAnsiTheme="majorHAnsi" w:cstheme="majorHAnsi"/>
          <w:i/>
          <w:iCs/>
        </w:rPr>
        <w:t xml:space="preserve"> française</w:t>
      </w:r>
      <w:r w:rsidRPr="002318FB">
        <w:rPr>
          <w:rFonts w:asciiTheme="majorHAnsi" w:hAnsiTheme="majorHAnsi" w:cstheme="majorHAnsi"/>
        </w:rPr>
        <w:t>. Paris: Gallimard.</w:t>
      </w:r>
      <w:r w:rsidRPr="002318FB">
        <w:rPr>
          <w:rFonts w:asciiTheme="majorHAnsi" w:hAnsiTheme="majorHAnsi" w:cstheme="majorHAnsi"/>
        </w:rPr>
        <w:br/>
      </w:r>
      <w:proofErr w:type="spellStart"/>
      <w:r w:rsidRPr="002318FB">
        <w:rPr>
          <w:rFonts w:asciiTheme="majorHAnsi" w:hAnsiTheme="majorHAnsi" w:cstheme="majorHAnsi"/>
          <w:b/>
          <w:bCs/>
        </w:rPr>
        <w:t>Garcet</w:t>
      </w:r>
      <w:proofErr w:type="spellEnd"/>
      <w:r w:rsidRPr="002318FB">
        <w:rPr>
          <w:rFonts w:asciiTheme="majorHAnsi" w:hAnsiTheme="majorHAnsi" w:cstheme="majorHAnsi"/>
          <w:b/>
          <w:bCs/>
        </w:rPr>
        <w:t>, S.</w:t>
      </w:r>
      <w:r w:rsidRPr="002318FB">
        <w:rPr>
          <w:rFonts w:asciiTheme="majorHAnsi" w:hAnsiTheme="majorHAnsi" w:cstheme="majorHAnsi"/>
        </w:rPr>
        <w:t xml:space="preserve"> (2021) ‘Understanding the psychological aspects of the </w:t>
      </w:r>
      <w:proofErr w:type="spellStart"/>
      <w:r w:rsidRPr="002318FB">
        <w:rPr>
          <w:rFonts w:asciiTheme="majorHAnsi" w:hAnsiTheme="majorHAnsi" w:cstheme="majorHAnsi"/>
        </w:rPr>
        <w:t>radicalisation</w:t>
      </w:r>
      <w:proofErr w:type="spellEnd"/>
      <w:r w:rsidRPr="002318FB">
        <w:rPr>
          <w:rFonts w:asciiTheme="majorHAnsi" w:hAnsiTheme="majorHAnsi" w:cstheme="majorHAnsi"/>
        </w:rPr>
        <w:t xml:space="preserve"> process’, </w:t>
      </w:r>
      <w:r w:rsidRPr="002318FB">
        <w:rPr>
          <w:rFonts w:asciiTheme="majorHAnsi" w:hAnsiTheme="majorHAnsi" w:cstheme="majorHAnsi"/>
          <w:i/>
          <w:iCs/>
        </w:rPr>
        <w:t>Forensic Sciences Research</w:t>
      </w:r>
      <w:r w:rsidRPr="002318FB">
        <w:rPr>
          <w:rFonts w:asciiTheme="majorHAnsi" w:hAnsiTheme="majorHAnsi" w:cstheme="majorHAnsi"/>
        </w:rPr>
        <w:t>, 6(2), pp. 115–123.</w:t>
      </w:r>
      <w:r w:rsidRPr="002318FB">
        <w:rPr>
          <w:rFonts w:asciiTheme="majorHAnsi" w:hAnsiTheme="majorHAnsi" w:cstheme="majorHAnsi"/>
        </w:rPr>
        <w:br/>
      </w:r>
      <w:r w:rsidRPr="002318FB">
        <w:rPr>
          <w:rFonts w:asciiTheme="majorHAnsi" w:hAnsiTheme="majorHAnsi" w:cstheme="majorHAnsi"/>
          <w:b/>
          <w:bCs/>
          <w:lang w:val="fr-FR"/>
        </w:rPr>
        <w:t>Gentile, G.</w:t>
      </w:r>
      <w:r w:rsidRPr="002318FB">
        <w:rPr>
          <w:rFonts w:asciiTheme="majorHAnsi" w:hAnsiTheme="majorHAnsi" w:cstheme="majorHAnsi"/>
          <w:lang w:val="fr-FR"/>
        </w:rPr>
        <w:t xml:space="preserve"> (1916) </w:t>
      </w:r>
      <w:r w:rsidRPr="002318FB">
        <w:rPr>
          <w:rFonts w:asciiTheme="majorHAnsi" w:hAnsiTheme="majorHAnsi" w:cstheme="majorHAnsi"/>
          <w:i/>
          <w:iCs/>
          <w:lang w:val="fr-FR"/>
        </w:rPr>
        <w:t xml:space="preserve">La </w:t>
      </w:r>
      <w:proofErr w:type="spellStart"/>
      <w:r w:rsidRPr="002318FB">
        <w:rPr>
          <w:rFonts w:asciiTheme="majorHAnsi" w:hAnsiTheme="majorHAnsi" w:cstheme="majorHAnsi"/>
          <w:i/>
          <w:iCs/>
          <w:lang w:val="fr-FR"/>
        </w:rPr>
        <w:t>filosofia</w:t>
      </w:r>
      <w:proofErr w:type="spellEnd"/>
      <w:r w:rsidRPr="002318FB">
        <w:rPr>
          <w:rFonts w:asciiTheme="majorHAnsi" w:hAnsiTheme="majorHAnsi" w:cstheme="majorHAnsi"/>
          <w:i/>
          <w:iCs/>
          <w:lang w:val="fr-FR"/>
        </w:rPr>
        <w:t xml:space="preserve"> di </w:t>
      </w:r>
      <w:proofErr w:type="spellStart"/>
      <w:r w:rsidRPr="002318FB">
        <w:rPr>
          <w:rFonts w:asciiTheme="majorHAnsi" w:hAnsiTheme="majorHAnsi" w:cstheme="majorHAnsi"/>
          <w:i/>
          <w:iCs/>
          <w:lang w:val="fr-FR"/>
        </w:rPr>
        <w:t>fascismo</w:t>
      </w:r>
      <w:proofErr w:type="spellEnd"/>
      <w:r w:rsidRPr="002318FB">
        <w:rPr>
          <w:rFonts w:asciiTheme="majorHAnsi" w:hAnsiTheme="majorHAnsi" w:cstheme="majorHAnsi"/>
          <w:lang w:val="fr-FR"/>
        </w:rPr>
        <w:t xml:space="preserve">. </w:t>
      </w:r>
      <w:proofErr w:type="gramStart"/>
      <w:r w:rsidRPr="002318FB">
        <w:rPr>
          <w:rFonts w:asciiTheme="majorHAnsi" w:hAnsiTheme="majorHAnsi" w:cstheme="majorHAnsi"/>
          <w:lang w:val="fr-FR"/>
        </w:rPr>
        <w:t>Florence:</w:t>
      </w:r>
      <w:proofErr w:type="gramEnd"/>
      <w:r w:rsidRPr="002318FB">
        <w:rPr>
          <w:rFonts w:asciiTheme="majorHAnsi" w:hAnsiTheme="majorHAnsi" w:cstheme="majorHAnsi"/>
          <w:lang w:val="fr-FR"/>
        </w:rPr>
        <w:t xml:space="preserve"> La </w:t>
      </w:r>
      <w:proofErr w:type="spellStart"/>
      <w:r w:rsidRPr="002318FB">
        <w:rPr>
          <w:rFonts w:asciiTheme="majorHAnsi" w:hAnsiTheme="majorHAnsi" w:cstheme="majorHAnsi"/>
          <w:lang w:val="fr-FR"/>
        </w:rPr>
        <w:t>Nuova</w:t>
      </w:r>
      <w:proofErr w:type="spellEnd"/>
      <w:r w:rsidRPr="002318FB">
        <w:rPr>
          <w:rFonts w:asciiTheme="majorHAnsi" w:hAnsiTheme="majorHAnsi" w:cstheme="majorHAnsi"/>
          <w:lang w:val="fr-FR"/>
        </w:rPr>
        <w:t xml:space="preserve"> Italia.</w:t>
      </w:r>
      <w:r w:rsidRPr="002318FB">
        <w:rPr>
          <w:rFonts w:asciiTheme="majorHAnsi" w:hAnsiTheme="majorHAnsi" w:cstheme="majorHAnsi"/>
          <w:lang w:val="fr-FR"/>
        </w:rPr>
        <w:br/>
      </w:r>
      <w:r w:rsidRPr="002318FB">
        <w:rPr>
          <w:rFonts w:asciiTheme="majorHAnsi" w:hAnsiTheme="majorHAnsi" w:cstheme="majorHAnsi"/>
          <w:b/>
          <w:bCs/>
        </w:rPr>
        <w:t>Grossmann, I., Feinberg, M., Parker, D. C., Christakis, N. A., Tetlock, P. E., &amp; Cunningham, W. A.</w:t>
      </w:r>
      <w:r w:rsidRPr="002318FB">
        <w:rPr>
          <w:rFonts w:asciiTheme="majorHAnsi" w:hAnsiTheme="majorHAnsi" w:cstheme="majorHAnsi"/>
        </w:rPr>
        <w:t xml:space="preserve"> (2023). AI and the transformation of social science research. </w:t>
      </w:r>
      <w:r w:rsidRPr="002318FB">
        <w:rPr>
          <w:rFonts w:asciiTheme="majorHAnsi" w:hAnsiTheme="majorHAnsi" w:cstheme="majorHAnsi"/>
          <w:i/>
          <w:iCs/>
        </w:rPr>
        <w:t>Science</w:t>
      </w:r>
      <w:r w:rsidRPr="002318FB">
        <w:rPr>
          <w:rFonts w:asciiTheme="majorHAnsi" w:hAnsiTheme="majorHAnsi" w:cstheme="majorHAnsi"/>
        </w:rPr>
        <w:t xml:space="preserve">, 380(6650), 1108–1109. </w:t>
      </w:r>
      <w:hyperlink r:id="rId13" w:tgtFrame="_new" w:history="1">
        <w:r w:rsidRPr="002318FB">
          <w:rPr>
            <w:rStyle w:val="Hyperlink"/>
            <w:rFonts w:asciiTheme="majorHAnsi" w:hAnsiTheme="majorHAnsi" w:cstheme="majorHAnsi"/>
          </w:rPr>
          <w:t>https://doi.org/10.1126/science.adi1778</w:t>
        </w:r>
      </w:hyperlink>
      <w:r w:rsidRPr="002318FB">
        <w:rPr>
          <w:rFonts w:asciiTheme="majorHAnsi" w:hAnsiTheme="majorHAnsi" w:cstheme="majorHAnsi"/>
        </w:rPr>
        <w:br/>
      </w:r>
      <w:proofErr w:type="spellStart"/>
      <w:r w:rsidRPr="002318FB">
        <w:rPr>
          <w:rFonts w:asciiTheme="majorHAnsi" w:hAnsiTheme="majorHAnsi" w:cstheme="majorHAnsi"/>
          <w:b/>
          <w:bCs/>
        </w:rPr>
        <w:t>Hadot</w:t>
      </w:r>
      <w:proofErr w:type="spellEnd"/>
      <w:r w:rsidRPr="002318FB">
        <w:rPr>
          <w:rFonts w:asciiTheme="majorHAnsi" w:hAnsiTheme="majorHAnsi" w:cstheme="majorHAnsi"/>
          <w:b/>
          <w:bCs/>
        </w:rPr>
        <w:t>, P.</w:t>
      </w:r>
      <w:r w:rsidRPr="002318FB">
        <w:rPr>
          <w:rFonts w:asciiTheme="majorHAnsi" w:hAnsiTheme="majorHAnsi" w:cstheme="majorHAnsi"/>
        </w:rPr>
        <w:t xml:space="preserve"> (1953) ‘</w:t>
      </w:r>
      <w:proofErr w:type="spellStart"/>
      <w:r w:rsidRPr="002318FB">
        <w:rPr>
          <w:rFonts w:asciiTheme="majorHAnsi" w:hAnsiTheme="majorHAnsi" w:cstheme="majorHAnsi"/>
        </w:rPr>
        <w:t>Epistrophè</w:t>
      </w:r>
      <w:proofErr w:type="spellEnd"/>
      <w:r w:rsidRPr="002318FB">
        <w:rPr>
          <w:rFonts w:asciiTheme="majorHAnsi" w:hAnsiTheme="majorHAnsi" w:cstheme="majorHAnsi"/>
        </w:rPr>
        <w:t xml:space="preserve"> et metanoia dans </w:t>
      </w:r>
      <w:proofErr w:type="spellStart"/>
      <w:r w:rsidRPr="002318FB">
        <w:rPr>
          <w:rFonts w:asciiTheme="majorHAnsi" w:hAnsiTheme="majorHAnsi" w:cstheme="majorHAnsi"/>
        </w:rPr>
        <w:t>l'histoire</w:t>
      </w:r>
      <w:proofErr w:type="spellEnd"/>
      <w:r w:rsidRPr="002318FB">
        <w:rPr>
          <w:rFonts w:asciiTheme="majorHAnsi" w:hAnsiTheme="majorHAnsi" w:cstheme="majorHAnsi"/>
        </w:rPr>
        <w:t xml:space="preserve"> de la </w:t>
      </w:r>
      <w:proofErr w:type="spellStart"/>
      <w:r w:rsidRPr="002318FB">
        <w:rPr>
          <w:rFonts w:asciiTheme="majorHAnsi" w:hAnsiTheme="majorHAnsi" w:cstheme="majorHAnsi"/>
        </w:rPr>
        <w:t>philosophie</w:t>
      </w:r>
      <w:proofErr w:type="spellEnd"/>
      <w:r w:rsidRPr="002318FB">
        <w:rPr>
          <w:rFonts w:asciiTheme="majorHAnsi" w:hAnsiTheme="majorHAnsi" w:cstheme="majorHAnsi"/>
        </w:rPr>
        <w:t xml:space="preserve">’, </w:t>
      </w:r>
      <w:r w:rsidRPr="002318FB">
        <w:rPr>
          <w:rFonts w:asciiTheme="majorHAnsi" w:hAnsiTheme="majorHAnsi" w:cstheme="majorHAnsi"/>
          <w:i/>
          <w:iCs/>
        </w:rPr>
        <w:t xml:space="preserve">Proceedings of the </w:t>
      </w:r>
      <w:proofErr w:type="spellStart"/>
      <w:r w:rsidRPr="002318FB">
        <w:rPr>
          <w:rFonts w:asciiTheme="majorHAnsi" w:hAnsiTheme="majorHAnsi" w:cstheme="majorHAnsi"/>
          <w:i/>
          <w:iCs/>
        </w:rPr>
        <w:t>XIth</w:t>
      </w:r>
      <w:proofErr w:type="spellEnd"/>
      <w:r w:rsidRPr="002318FB">
        <w:rPr>
          <w:rFonts w:asciiTheme="majorHAnsi" w:hAnsiTheme="majorHAnsi" w:cstheme="majorHAnsi"/>
          <w:i/>
          <w:iCs/>
        </w:rPr>
        <w:t xml:space="preserve"> International Congress of Philosophy</w:t>
      </w:r>
      <w:r w:rsidRPr="002318FB">
        <w:rPr>
          <w:rFonts w:asciiTheme="majorHAnsi" w:hAnsiTheme="majorHAnsi" w:cstheme="majorHAnsi"/>
        </w:rPr>
        <w:t>, 12, pp. 31-36.</w:t>
      </w:r>
      <w:r w:rsidRPr="002318FB">
        <w:rPr>
          <w:rFonts w:asciiTheme="majorHAnsi" w:hAnsiTheme="majorHAnsi" w:cstheme="majorHAnsi"/>
        </w:rPr>
        <w:br/>
      </w:r>
      <w:r w:rsidRPr="002318FB">
        <w:rPr>
          <w:rFonts w:asciiTheme="majorHAnsi" w:hAnsiTheme="majorHAnsi" w:cstheme="majorHAnsi"/>
          <w:b/>
          <w:bCs/>
        </w:rPr>
        <w:t>Harman, E.</w:t>
      </w:r>
      <w:r w:rsidRPr="002318FB">
        <w:rPr>
          <w:rFonts w:asciiTheme="majorHAnsi" w:hAnsiTheme="majorHAnsi" w:cstheme="majorHAnsi"/>
        </w:rPr>
        <w:t xml:space="preserve"> (2015) ‘Transformative experiences and reliance on moral testimony’,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xml:space="preserve">, 92, </w:t>
      </w:r>
      <w:r w:rsidRPr="002318FB">
        <w:rPr>
          <w:rFonts w:asciiTheme="majorHAnsi" w:hAnsiTheme="majorHAnsi" w:cstheme="majorHAnsi"/>
        </w:rPr>
        <w:lastRenderedPageBreak/>
        <w:t>pp. 323–9.</w:t>
      </w:r>
      <w:r w:rsidRPr="002318FB">
        <w:rPr>
          <w:rFonts w:asciiTheme="majorHAnsi" w:hAnsiTheme="majorHAnsi" w:cstheme="majorHAnsi"/>
        </w:rPr>
        <w:br/>
      </w:r>
      <w:proofErr w:type="spellStart"/>
      <w:r w:rsidRPr="002318FB">
        <w:rPr>
          <w:rFonts w:asciiTheme="majorHAnsi" w:hAnsiTheme="majorHAnsi" w:cstheme="majorHAnsi"/>
          <w:b/>
          <w:bCs/>
        </w:rPr>
        <w:t>Heimann</w:t>
      </w:r>
      <w:proofErr w:type="spellEnd"/>
      <w:r w:rsidRPr="002318FB">
        <w:rPr>
          <w:rFonts w:asciiTheme="majorHAnsi" w:hAnsiTheme="majorHAnsi" w:cstheme="majorHAnsi"/>
          <w:b/>
          <w:bCs/>
        </w:rPr>
        <w:t>, R.</w:t>
      </w:r>
      <w:r w:rsidRPr="002318FB">
        <w:rPr>
          <w:rFonts w:asciiTheme="majorHAnsi" w:hAnsiTheme="majorHAnsi" w:cstheme="majorHAnsi"/>
        </w:rPr>
        <w:t xml:space="preserve"> (2022) ‘Metanoia in the Sermon on the Mount’, in </w:t>
      </w:r>
      <w:proofErr w:type="spellStart"/>
      <w:r w:rsidRPr="002318FB">
        <w:rPr>
          <w:rFonts w:asciiTheme="majorHAnsi" w:hAnsiTheme="majorHAnsi" w:cstheme="majorHAnsi"/>
        </w:rPr>
        <w:t>Despotis</w:t>
      </w:r>
      <w:proofErr w:type="spellEnd"/>
      <w:r w:rsidRPr="002318FB">
        <w:rPr>
          <w:rFonts w:asciiTheme="majorHAnsi" w:hAnsiTheme="majorHAnsi" w:cstheme="majorHAnsi"/>
        </w:rPr>
        <w:t xml:space="preserve"> &amp; </w:t>
      </w:r>
      <w:proofErr w:type="spellStart"/>
      <w:r w:rsidRPr="002318FB">
        <w:rPr>
          <w:rFonts w:asciiTheme="majorHAnsi" w:hAnsiTheme="majorHAnsi" w:cstheme="majorHAnsi"/>
        </w:rPr>
        <w:t>Löhr</w:t>
      </w:r>
      <w:proofErr w:type="spellEnd"/>
      <w:r w:rsidRPr="002318FB">
        <w:rPr>
          <w:rFonts w:asciiTheme="majorHAnsi" w:hAnsiTheme="majorHAnsi" w:cstheme="majorHAnsi"/>
        </w:rPr>
        <w:t xml:space="preserve"> (eds.) </w:t>
      </w:r>
      <w:r w:rsidRPr="002318FB">
        <w:rPr>
          <w:rFonts w:asciiTheme="majorHAnsi" w:hAnsiTheme="majorHAnsi" w:cstheme="majorHAnsi"/>
          <w:i/>
          <w:iCs/>
        </w:rPr>
        <w:t>Religious and philosophical conversion</w:t>
      </w:r>
      <w:r w:rsidRPr="002318FB">
        <w:rPr>
          <w:rFonts w:asciiTheme="majorHAnsi" w:hAnsiTheme="majorHAnsi" w:cstheme="majorHAnsi"/>
        </w:rPr>
        <w:t>, Brill, pp. 272-314.</w:t>
      </w:r>
      <w:r w:rsidRPr="002318FB">
        <w:rPr>
          <w:rFonts w:asciiTheme="majorHAnsi" w:hAnsiTheme="majorHAnsi" w:cstheme="majorHAnsi"/>
        </w:rPr>
        <w:br/>
      </w:r>
      <w:proofErr w:type="spellStart"/>
      <w:r w:rsidRPr="002318FB">
        <w:rPr>
          <w:rFonts w:asciiTheme="majorHAnsi" w:hAnsiTheme="majorHAnsi" w:cstheme="majorHAnsi"/>
          <w:b/>
          <w:bCs/>
        </w:rPr>
        <w:t>Heinich</w:t>
      </w:r>
      <w:proofErr w:type="spellEnd"/>
      <w:r w:rsidRPr="002318FB">
        <w:rPr>
          <w:rFonts w:asciiTheme="majorHAnsi" w:hAnsiTheme="majorHAnsi" w:cstheme="majorHAnsi"/>
          <w:b/>
          <w:bCs/>
        </w:rPr>
        <w:t>, N.</w:t>
      </w:r>
      <w:r w:rsidRPr="002318FB">
        <w:rPr>
          <w:rFonts w:asciiTheme="majorHAnsi" w:hAnsiTheme="majorHAnsi" w:cstheme="majorHAnsi"/>
        </w:rPr>
        <w:t xml:space="preserve"> (2014) ‘Limits of religious analogy: The example of celebrity’, </w:t>
      </w:r>
      <w:r w:rsidRPr="002318FB">
        <w:rPr>
          <w:rFonts w:asciiTheme="majorHAnsi" w:hAnsiTheme="majorHAnsi" w:cstheme="majorHAnsi"/>
          <w:i/>
          <w:iCs/>
        </w:rPr>
        <w:t>Social Sciences</w:t>
      </w:r>
      <w:r w:rsidRPr="002318FB">
        <w:rPr>
          <w:rFonts w:asciiTheme="majorHAnsi" w:hAnsiTheme="majorHAnsi" w:cstheme="majorHAnsi"/>
        </w:rPr>
        <w:t xml:space="preserve">, 3(1), pp. 71-83. </w:t>
      </w:r>
      <w:hyperlink r:id="rId14" w:tgtFrame="_new" w:history="1">
        <w:r w:rsidRPr="002318FB">
          <w:rPr>
            <w:rStyle w:val="Hyperlink"/>
            <w:rFonts w:asciiTheme="majorHAnsi" w:hAnsiTheme="majorHAnsi" w:cstheme="majorHAnsi"/>
          </w:rPr>
          <w:t>https://doi.org/10.3390/socsci3010071</w:t>
        </w:r>
      </w:hyperlink>
      <w:r w:rsidRPr="002318FB">
        <w:rPr>
          <w:rFonts w:asciiTheme="majorHAnsi" w:hAnsiTheme="majorHAnsi" w:cstheme="majorHAnsi"/>
        </w:rPr>
        <w:br/>
      </w:r>
      <w:r w:rsidRPr="002318FB">
        <w:rPr>
          <w:rFonts w:asciiTheme="majorHAnsi" w:hAnsiTheme="majorHAnsi" w:cstheme="majorHAnsi"/>
          <w:b/>
          <w:bCs/>
        </w:rPr>
        <w:t>Holland, T.</w:t>
      </w:r>
      <w:r w:rsidRPr="002318FB">
        <w:rPr>
          <w:rFonts w:asciiTheme="majorHAnsi" w:hAnsiTheme="majorHAnsi" w:cstheme="majorHAnsi"/>
        </w:rPr>
        <w:t xml:space="preserve"> (2019) </w:t>
      </w:r>
      <w:r w:rsidRPr="002318FB">
        <w:rPr>
          <w:rFonts w:asciiTheme="majorHAnsi" w:hAnsiTheme="majorHAnsi" w:cstheme="majorHAnsi"/>
          <w:i/>
          <w:iCs/>
        </w:rPr>
        <w:t>Dominion: The making of the Western mind</w:t>
      </w:r>
      <w:r w:rsidRPr="002318FB">
        <w:rPr>
          <w:rFonts w:asciiTheme="majorHAnsi" w:hAnsiTheme="majorHAnsi" w:cstheme="majorHAnsi"/>
        </w:rPr>
        <w:t>. London: Little, Brown.</w:t>
      </w:r>
      <w:r w:rsidRPr="002318FB">
        <w:rPr>
          <w:rFonts w:asciiTheme="majorHAnsi" w:hAnsiTheme="majorHAnsi" w:cstheme="majorHAnsi"/>
        </w:rPr>
        <w:br/>
      </w:r>
      <w:r w:rsidRPr="002318FB">
        <w:rPr>
          <w:rFonts w:asciiTheme="majorHAnsi" w:hAnsiTheme="majorHAnsi" w:cstheme="majorHAnsi"/>
          <w:b/>
          <w:bCs/>
        </w:rPr>
        <w:t>Hutchins-</w:t>
      </w:r>
      <w:proofErr w:type="spellStart"/>
      <w:r w:rsidRPr="002318FB">
        <w:rPr>
          <w:rFonts w:asciiTheme="majorHAnsi" w:hAnsiTheme="majorHAnsi" w:cstheme="majorHAnsi"/>
          <w:b/>
          <w:bCs/>
        </w:rPr>
        <w:t>Viroux</w:t>
      </w:r>
      <w:proofErr w:type="spellEnd"/>
      <w:r w:rsidRPr="002318FB">
        <w:rPr>
          <w:rFonts w:asciiTheme="majorHAnsi" w:hAnsiTheme="majorHAnsi" w:cstheme="majorHAnsi"/>
          <w:b/>
          <w:bCs/>
        </w:rPr>
        <w:t>, Rachel.</w:t>
      </w:r>
      <w:r w:rsidRPr="002318FB">
        <w:rPr>
          <w:rFonts w:asciiTheme="majorHAnsi" w:hAnsiTheme="majorHAnsi" w:cstheme="majorHAnsi"/>
        </w:rPr>
        <w:t xml:space="preserve"> (2008). "Witch-hunts, Theocracies and Hypocrisy", </w:t>
      </w:r>
      <w:r w:rsidRPr="002318FB">
        <w:rPr>
          <w:rFonts w:asciiTheme="majorHAnsi" w:hAnsiTheme="majorHAnsi" w:cstheme="majorHAnsi"/>
          <w:i/>
          <w:iCs/>
        </w:rPr>
        <w:t>Revue LISA/LISA e-journal</w:t>
      </w:r>
      <w:r w:rsidRPr="002318FB">
        <w:rPr>
          <w:rFonts w:asciiTheme="majorHAnsi" w:hAnsiTheme="majorHAnsi" w:cstheme="majorHAnsi"/>
        </w:rPr>
        <w:t xml:space="preserve">, </w:t>
      </w:r>
      <w:proofErr w:type="gramStart"/>
      <w:r w:rsidRPr="002318FB">
        <w:rPr>
          <w:rFonts w:asciiTheme="majorHAnsi" w:hAnsiTheme="majorHAnsi" w:cstheme="majorHAnsi"/>
        </w:rPr>
        <w:t>VI(</w:t>
      </w:r>
      <w:proofErr w:type="gramEnd"/>
      <w:r w:rsidRPr="002318FB">
        <w:rPr>
          <w:rFonts w:asciiTheme="majorHAnsi" w:hAnsiTheme="majorHAnsi" w:cstheme="majorHAnsi"/>
        </w:rPr>
        <w:t xml:space="preserve">2), pp. 140–148. </w:t>
      </w:r>
      <w:hyperlink r:id="rId15" w:tgtFrame="_new" w:history="1">
        <w:r w:rsidRPr="002318FB">
          <w:rPr>
            <w:rStyle w:val="Hyperlink"/>
            <w:rFonts w:asciiTheme="majorHAnsi" w:hAnsiTheme="majorHAnsi" w:cstheme="majorHAnsi"/>
          </w:rPr>
          <w:t>https://doi.org/10.4000/lisa.1140</w:t>
        </w:r>
      </w:hyperlink>
      <w:r w:rsidRPr="002318FB">
        <w:rPr>
          <w:rFonts w:asciiTheme="majorHAnsi" w:hAnsiTheme="majorHAnsi" w:cstheme="majorHAnsi"/>
        </w:rPr>
        <w:br/>
      </w:r>
      <w:r w:rsidRPr="002318FB">
        <w:rPr>
          <w:rFonts w:asciiTheme="majorHAnsi" w:hAnsiTheme="majorHAnsi" w:cstheme="majorHAnsi"/>
          <w:b/>
          <w:bCs/>
        </w:rPr>
        <w:t>Isaacs, Y.</w:t>
      </w:r>
      <w:r w:rsidRPr="002318FB">
        <w:rPr>
          <w:rFonts w:asciiTheme="majorHAnsi" w:hAnsiTheme="majorHAnsi" w:cstheme="majorHAnsi"/>
        </w:rPr>
        <w:t xml:space="preserve"> (2019) ‘The problems of transformative experience’, </w:t>
      </w:r>
      <w:r w:rsidRPr="002318FB">
        <w:rPr>
          <w:rFonts w:asciiTheme="majorHAnsi" w:hAnsiTheme="majorHAnsi" w:cstheme="majorHAnsi"/>
          <w:i/>
          <w:iCs/>
        </w:rPr>
        <w:t>Philosophical Studies</w:t>
      </w:r>
      <w:r w:rsidRPr="002318FB">
        <w:rPr>
          <w:rFonts w:asciiTheme="majorHAnsi" w:hAnsiTheme="majorHAnsi" w:cstheme="majorHAnsi"/>
        </w:rPr>
        <w:t xml:space="preserve">. </w:t>
      </w:r>
      <w:hyperlink r:id="rId16" w:tgtFrame="_new" w:history="1">
        <w:r w:rsidRPr="002318FB">
          <w:rPr>
            <w:rStyle w:val="Hyperlink"/>
            <w:rFonts w:asciiTheme="majorHAnsi" w:hAnsiTheme="majorHAnsi" w:cstheme="majorHAnsi"/>
          </w:rPr>
          <w:t>https://doi.org/10.1007/s11098-018-01235-3</w:t>
        </w:r>
      </w:hyperlink>
      <w:r w:rsidRPr="002318FB">
        <w:rPr>
          <w:rFonts w:asciiTheme="majorHAnsi" w:hAnsiTheme="majorHAnsi" w:cstheme="majorHAnsi"/>
        </w:rPr>
        <w:br/>
      </w:r>
      <w:r w:rsidRPr="002318FB">
        <w:rPr>
          <w:rFonts w:asciiTheme="majorHAnsi" w:hAnsiTheme="majorHAnsi" w:cstheme="majorHAnsi"/>
          <w:b/>
          <w:bCs/>
        </w:rPr>
        <w:t>Jung, C.G.</w:t>
      </w:r>
      <w:r w:rsidRPr="002318FB">
        <w:rPr>
          <w:rFonts w:asciiTheme="majorHAnsi" w:hAnsiTheme="majorHAnsi" w:cstheme="majorHAnsi"/>
        </w:rPr>
        <w:t xml:space="preserve"> (1951) ‘Phenomenology of the self’, in </w:t>
      </w:r>
      <w:r w:rsidRPr="002318FB">
        <w:rPr>
          <w:rFonts w:asciiTheme="majorHAnsi" w:hAnsiTheme="majorHAnsi" w:cstheme="majorHAnsi"/>
          <w:i/>
          <w:iCs/>
        </w:rPr>
        <w:t>The Portable Jung</w:t>
      </w:r>
      <w:r w:rsidRPr="002318FB">
        <w:rPr>
          <w:rFonts w:asciiTheme="majorHAnsi" w:hAnsiTheme="majorHAnsi" w:cstheme="majorHAnsi"/>
        </w:rPr>
        <w:t>. London: Penguin Classics, 1976, p. 704.</w:t>
      </w:r>
      <w:r w:rsidRPr="002318FB">
        <w:rPr>
          <w:rFonts w:asciiTheme="majorHAnsi" w:hAnsiTheme="majorHAnsi" w:cstheme="majorHAnsi"/>
        </w:rPr>
        <w:br/>
      </w:r>
      <w:r w:rsidRPr="002318FB">
        <w:rPr>
          <w:rFonts w:asciiTheme="majorHAnsi" w:hAnsiTheme="majorHAnsi" w:cstheme="majorHAnsi"/>
          <w:b/>
          <w:bCs/>
        </w:rPr>
        <w:t>Kang, D., &amp; Evans, J.</w:t>
      </w:r>
      <w:r w:rsidRPr="002318FB">
        <w:rPr>
          <w:rFonts w:asciiTheme="majorHAnsi" w:hAnsiTheme="majorHAnsi" w:cstheme="majorHAnsi"/>
        </w:rPr>
        <w:t xml:space="preserve"> (2020). Against method. </w:t>
      </w:r>
      <w:r w:rsidRPr="002318FB">
        <w:rPr>
          <w:rFonts w:asciiTheme="majorHAnsi" w:hAnsiTheme="majorHAnsi" w:cstheme="majorHAnsi"/>
          <w:i/>
          <w:iCs/>
        </w:rPr>
        <w:t>Quantitative Science Studies</w:t>
      </w:r>
      <w:r w:rsidRPr="002318FB">
        <w:rPr>
          <w:rFonts w:asciiTheme="majorHAnsi" w:hAnsiTheme="majorHAnsi" w:cstheme="majorHAnsi"/>
        </w:rPr>
        <w:t xml:space="preserve">, 1(3), 930–944. </w:t>
      </w:r>
      <w:hyperlink r:id="rId17" w:tgtFrame="_new" w:history="1">
        <w:r w:rsidRPr="002318FB">
          <w:rPr>
            <w:rStyle w:val="Hyperlink"/>
            <w:rFonts w:asciiTheme="majorHAnsi" w:hAnsiTheme="majorHAnsi" w:cstheme="majorHAnsi"/>
          </w:rPr>
          <w:t>https://doi.org/10.1162/qss_a_00056</w:t>
        </w:r>
      </w:hyperlink>
      <w:r w:rsidRPr="002318FB">
        <w:rPr>
          <w:rFonts w:asciiTheme="majorHAnsi" w:hAnsiTheme="majorHAnsi" w:cstheme="majorHAnsi"/>
        </w:rPr>
        <w:br/>
      </w:r>
      <w:r w:rsidRPr="002318FB">
        <w:rPr>
          <w:rFonts w:asciiTheme="majorHAnsi" w:hAnsiTheme="majorHAnsi" w:cstheme="majorHAnsi"/>
          <w:b/>
          <w:bCs/>
        </w:rPr>
        <w:t>Kierkegaard, S.</w:t>
      </w:r>
      <w:r w:rsidRPr="002318FB">
        <w:rPr>
          <w:rFonts w:asciiTheme="majorHAnsi" w:hAnsiTheme="majorHAnsi" w:cstheme="majorHAnsi"/>
        </w:rPr>
        <w:t xml:space="preserve"> (1989) </w:t>
      </w:r>
      <w:r w:rsidRPr="002318FB">
        <w:rPr>
          <w:rFonts w:asciiTheme="majorHAnsi" w:hAnsiTheme="majorHAnsi" w:cstheme="majorHAnsi"/>
          <w:i/>
          <w:iCs/>
        </w:rPr>
        <w:t>The sickness unto death</w:t>
      </w:r>
      <w:r w:rsidRPr="002318FB">
        <w:rPr>
          <w:rFonts w:asciiTheme="majorHAnsi" w:hAnsiTheme="majorHAnsi" w:cstheme="majorHAnsi"/>
        </w:rPr>
        <w:t xml:space="preserve"> (1849). Trans. A. Hannay. London: Penguin Classics.</w:t>
      </w:r>
      <w:r w:rsidRPr="002318FB">
        <w:rPr>
          <w:rFonts w:asciiTheme="majorHAnsi" w:hAnsiTheme="majorHAnsi" w:cstheme="majorHAnsi"/>
        </w:rPr>
        <w:br/>
      </w:r>
      <w:r w:rsidRPr="002318FB">
        <w:rPr>
          <w:rFonts w:asciiTheme="majorHAnsi" w:hAnsiTheme="majorHAnsi" w:cstheme="majorHAnsi"/>
          <w:b/>
          <w:bCs/>
        </w:rPr>
        <w:t>Lamont, M.</w:t>
      </w:r>
      <w:r w:rsidRPr="002318FB">
        <w:rPr>
          <w:rFonts w:asciiTheme="majorHAnsi" w:hAnsiTheme="majorHAnsi" w:cstheme="majorHAnsi"/>
        </w:rPr>
        <w:t xml:space="preserve"> (2009). </w:t>
      </w:r>
      <w:r w:rsidRPr="002318FB">
        <w:rPr>
          <w:rFonts w:asciiTheme="majorHAnsi" w:hAnsiTheme="majorHAnsi" w:cstheme="majorHAnsi"/>
          <w:i/>
          <w:iCs/>
        </w:rPr>
        <w:t>How Professors Think</w:t>
      </w:r>
      <w:r w:rsidRPr="002318FB">
        <w:rPr>
          <w:rFonts w:asciiTheme="majorHAnsi" w:hAnsiTheme="majorHAnsi" w:cstheme="majorHAnsi"/>
        </w:rPr>
        <w:t xml:space="preserve">. Harvard University Press. </w:t>
      </w:r>
      <w:hyperlink r:id="rId18" w:tgtFrame="_new" w:history="1">
        <w:r w:rsidRPr="002318FB">
          <w:rPr>
            <w:rStyle w:val="Hyperlink"/>
            <w:rFonts w:asciiTheme="majorHAnsi" w:hAnsiTheme="majorHAnsi" w:cstheme="majorHAnsi"/>
          </w:rPr>
          <w:t>https://doi.org/10.4159/9780674054158</w:t>
        </w:r>
      </w:hyperlink>
      <w:r w:rsidRPr="002318FB">
        <w:rPr>
          <w:rFonts w:asciiTheme="majorHAnsi" w:hAnsiTheme="majorHAnsi" w:cstheme="majorHAnsi"/>
        </w:rPr>
        <w:br/>
      </w:r>
      <w:r w:rsidRPr="002318FB">
        <w:rPr>
          <w:rFonts w:asciiTheme="majorHAnsi" w:hAnsiTheme="majorHAnsi" w:cstheme="majorHAnsi"/>
          <w:b/>
          <w:bCs/>
        </w:rPr>
        <w:t xml:space="preserve">Layman, G. C., &amp; </w:t>
      </w:r>
      <w:proofErr w:type="spellStart"/>
      <w:r w:rsidRPr="002318FB">
        <w:rPr>
          <w:rFonts w:asciiTheme="majorHAnsi" w:hAnsiTheme="majorHAnsi" w:cstheme="majorHAnsi"/>
          <w:b/>
          <w:bCs/>
        </w:rPr>
        <w:t>Carsey</w:t>
      </w:r>
      <w:proofErr w:type="spellEnd"/>
      <w:r w:rsidRPr="002318FB">
        <w:rPr>
          <w:rFonts w:asciiTheme="majorHAnsi" w:hAnsiTheme="majorHAnsi" w:cstheme="majorHAnsi"/>
          <w:b/>
          <w:bCs/>
        </w:rPr>
        <w:t>, T. M.</w:t>
      </w:r>
      <w:r w:rsidRPr="002318FB">
        <w:rPr>
          <w:rFonts w:asciiTheme="majorHAnsi" w:hAnsiTheme="majorHAnsi" w:cstheme="majorHAnsi"/>
        </w:rPr>
        <w:t xml:space="preserve"> (1998). Why Do Party Activists Convert? </w:t>
      </w:r>
      <w:r w:rsidRPr="002318FB">
        <w:rPr>
          <w:rFonts w:asciiTheme="majorHAnsi" w:hAnsiTheme="majorHAnsi" w:cstheme="majorHAnsi"/>
          <w:i/>
          <w:iCs/>
        </w:rPr>
        <w:t>Political Research Quarterly</w:t>
      </w:r>
      <w:r w:rsidRPr="002318FB">
        <w:rPr>
          <w:rFonts w:asciiTheme="majorHAnsi" w:hAnsiTheme="majorHAnsi" w:cstheme="majorHAnsi"/>
        </w:rPr>
        <w:t xml:space="preserve">, 51(3), 723-749. </w:t>
      </w:r>
      <w:hyperlink r:id="rId19" w:tgtFrame="_new" w:history="1">
        <w:r w:rsidRPr="002318FB">
          <w:rPr>
            <w:rStyle w:val="Hyperlink"/>
            <w:rFonts w:asciiTheme="majorHAnsi" w:hAnsiTheme="majorHAnsi" w:cstheme="majorHAnsi"/>
          </w:rPr>
          <w:t>https://doi.org/10.1177/106591299805100308</w:t>
        </w:r>
      </w:hyperlink>
      <w:r w:rsidRPr="002318FB">
        <w:rPr>
          <w:rFonts w:asciiTheme="majorHAnsi" w:hAnsiTheme="majorHAnsi" w:cstheme="majorHAnsi"/>
        </w:rPr>
        <w:br/>
      </w:r>
      <w:r w:rsidRPr="002318FB">
        <w:rPr>
          <w:rFonts w:asciiTheme="majorHAnsi" w:hAnsiTheme="majorHAnsi" w:cstheme="majorHAnsi"/>
          <w:b/>
          <w:bCs/>
        </w:rPr>
        <w:t xml:space="preserve">Linden, A., &amp; </w:t>
      </w:r>
      <w:proofErr w:type="spellStart"/>
      <w:r w:rsidRPr="002318FB">
        <w:rPr>
          <w:rFonts w:asciiTheme="majorHAnsi" w:hAnsiTheme="majorHAnsi" w:cstheme="majorHAnsi"/>
          <w:b/>
          <w:bCs/>
        </w:rPr>
        <w:t>Klandermans</w:t>
      </w:r>
      <w:proofErr w:type="spellEnd"/>
      <w:r w:rsidRPr="002318FB">
        <w:rPr>
          <w:rFonts w:asciiTheme="majorHAnsi" w:hAnsiTheme="majorHAnsi" w:cstheme="majorHAnsi"/>
          <w:b/>
          <w:bCs/>
        </w:rPr>
        <w:t>, B.</w:t>
      </w:r>
      <w:r w:rsidRPr="002318FB">
        <w:rPr>
          <w:rFonts w:asciiTheme="majorHAnsi" w:hAnsiTheme="majorHAnsi" w:cstheme="majorHAnsi"/>
        </w:rPr>
        <w:t xml:space="preserve"> (2007). </w:t>
      </w:r>
      <w:r w:rsidRPr="002318FB">
        <w:rPr>
          <w:rFonts w:asciiTheme="majorHAnsi" w:hAnsiTheme="majorHAnsi" w:cstheme="majorHAnsi"/>
          <w:i/>
          <w:iCs/>
        </w:rPr>
        <w:t xml:space="preserve">Revolutionaries, Wanderers, Converts, and </w:t>
      </w:r>
      <w:proofErr w:type="spellStart"/>
      <w:r w:rsidRPr="002318FB">
        <w:rPr>
          <w:rFonts w:asciiTheme="majorHAnsi" w:hAnsiTheme="majorHAnsi" w:cstheme="majorHAnsi"/>
          <w:i/>
          <w:iCs/>
        </w:rPr>
        <w:t>Compliants</w:t>
      </w:r>
      <w:proofErr w:type="spellEnd"/>
      <w:r w:rsidRPr="002318FB">
        <w:rPr>
          <w:rFonts w:asciiTheme="majorHAnsi" w:hAnsiTheme="majorHAnsi" w:cstheme="majorHAnsi"/>
        </w:rPr>
        <w:t xml:space="preserve">. </w:t>
      </w:r>
      <w:r w:rsidRPr="002318FB">
        <w:rPr>
          <w:rFonts w:asciiTheme="majorHAnsi" w:hAnsiTheme="majorHAnsi" w:cstheme="majorHAnsi"/>
          <w:i/>
          <w:iCs/>
        </w:rPr>
        <w:t>Journal of Contemporary Ethnography</w:t>
      </w:r>
      <w:r w:rsidRPr="002318FB">
        <w:rPr>
          <w:rFonts w:asciiTheme="majorHAnsi" w:hAnsiTheme="majorHAnsi" w:cstheme="majorHAnsi"/>
        </w:rPr>
        <w:t xml:space="preserve">, 36(2), 184-201. </w:t>
      </w:r>
      <w:hyperlink r:id="rId20" w:tgtFrame="_new" w:history="1">
        <w:r w:rsidRPr="002318FB">
          <w:rPr>
            <w:rStyle w:val="Hyperlink"/>
            <w:rFonts w:asciiTheme="majorHAnsi" w:hAnsiTheme="majorHAnsi" w:cstheme="majorHAnsi"/>
          </w:rPr>
          <w:t>https://doi.org/10.1177/0891241606298824</w:t>
        </w:r>
      </w:hyperlink>
      <w:r w:rsidRPr="002318FB">
        <w:rPr>
          <w:rFonts w:asciiTheme="majorHAnsi" w:hAnsiTheme="majorHAnsi" w:cstheme="majorHAnsi"/>
        </w:rPr>
        <w:br/>
      </w:r>
      <w:r w:rsidRPr="002318FB">
        <w:rPr>
          <w:rFonts w:asciiTheme="majorHAnsi" w:hAnsiTheme="majorHAnsi" w:cstheme="majorHAnsi"/>
          <w:b/>
          <w:bCs/>
        </w:rPr>
        <w:t>Locke, J.</w:t>
      </w:r>
      <w:r w:rsidRPr="002318FB">
        <w:rPr>
          <w:rFonts w:asciiTheme="majorHAnsi" w:hAnsiTheme="majorHAnsi" w:cstheme="majorHAnsi"/>
        </w:rPr>
        <w:t xml:space="preserve"> (1689) </w:t>
      </w:r>
      <w:r w:rsidRPr="002318FB">
        <w:rPr>
          <w:rFonts w:asciiTheme="majorHAnsi" w:hAnsiTheme="majorHAnsi" w:cstheme="majorHAnsi"/>
          <w:i/>
          <w:iCs/>
        </w:rPr>
        <w:t>An essay concerning human understanding</w:t>
      </w:r>
      <w:r w:rsidRPr="002318FB">
        <w:rPr>
          <w:rFonts w:asciiTheme="majorHAnsi" w:hAnsiTheme="majorHAnsi" w:cstheme="majorHAnsi"/>
        </w:rPr>
        <w:t>, Book 2, Chapter 27.</w:t>
      </w:r>
      <w:r w:rsidRPr="002318FB">
        <w:rPr>
          <w:rFonts w:asciiTheme="majorHAnsi" w:hAnsiTheme="majorHAnsi" w:cstheme="majorHAnsi"/>
        </w:rPr>
        <w:br/>
      </w:r>
      <w:r w:rsidRPr="002318FB">
        <w:rPr>
          <w:rFonts w:asciiTheme="majorHAnsi" w:hAnsiTheme="majorHAnsi" w:cstheme="majorHAnsi"/>
          <w:b/>
          <w:bCs/>
        </w:rPr>
        <w:t>Mac Laughlin, A. J.</w:t>
      </w:r>
      <w:r w:rsidRPr="002318FB">
        <w:rPr>
          <w:rFonts w:asciiTheme="majorHAnsi" w:hAnsiTheme="majorHAnsi" w:cstheme="majorHAnsi"/>
        </w:rPr>
        <w:t xml:space="preserve"> (2008). </w:t>
      </w:r>
      <w:r w:rsidRPr="002318FB">
        <w:rPr>
          <w:rFonts w:asciiTheme="majorHAnsi" w:hAnsiTheme="majorHAnsi" w:cstheme="majorHAnsi"/>
          <w:i/>
          <w:iCs/>
        </w:rPr>
        <w:t>Narratives of hope</w:t>
      </w:r>
      <w:r w:rsidRPr="002318FB">
        <w:rPr>
          <w:rFonts w:asciiTheme="majorHAnsi" w:hAnsiTheme="majorHAnsi" w:cstheme="majorHAnsi"/>
        </w:rPr>
        <w:t xml:space="preserve"> (Doctoral dissertation, Loyola University Chicago).</w:t>
      </w:r>
      <w:r w:rsidRPr="002318FB">
        <w:rPr>
          <w:rFonts w:asciiTheme="majorHAnsi" w:hAnsiTheme="majorHAnsi" w:cstheme="majorHAnsi"/>
        </w:rPr>
        <w:br/>
      </w:r>
      <w:r w:rsidRPr="002318FB">
        <w:rPr>
          <w:rFonts w:asciiTheme="majorHAnsi" w:hAnsiTheme="majorHAnsi" w:cstheme="majorHAnsi"/>
          <w:b/>
          <w:bCs/>
        </w:rPr>
        <w:t>Mao, Z.</w:t>
      </w:r>
      <w:r w:rsidRPr="002318FB">
        <w:rPr>
          <w:rFonts w:asciiTheme="majorHAnsi" w:hAnsiTheme="majorHAnsi" w:cstheme="majorHAnsi"/>
        </w:rPr>
        <w:t xml:space="preserve"> (1940) </w:t>
      </w:r>
      <w:r w:rsidRPr="002318FB">
        <w:rPr>
          <w:rFonts w:asciiTheme="majorHAnsi" w:hAnsiTheme="majorHAnsi" w:cstheme="majorHAnsi"/>
          <w:i/>
          <w:iCs/>
        </w:rPr>
        <w:t>On new democracy</w:t>
      </w:r>
      <w:r w:rsidRPr="002318FB">
        <w:rPr>
          <w:rFonts w:asciiTheme="majorHAnsi" w:hAnsiTheme="majorHAnsi" w:cstheme="majorHAnsi"/>
        </w:rPr>
        <w:t>. Beijing: Foreign Languages Press.</w:t>
      </w:r>
      <w:r w:rsidRPr="002318FB">
        <w:rPr>
          <w:rFonts w:asciiTheme="majorHAnsi" w:hAnsiTheme="majorHAnsi" w:cstheme="majorHAnsi"/>
        </w:rPr>
        <w:br/>
      </w:r>
      <w:r w:rsidRPr="002318FB">
        <w:rPr>
          <w:rFonts w:asciiTheme="majorHAnsi" w:hAnsiTheme="majorHAnsi" w:cstheme="majorHAnsi"/>
          <w:b/>
          <w:bCs/>
        </w:rPr>
        <w:t>Mao, Z.</w:t>
      </w:r>
      <w:r w:rsidRPr="002318FB">
        <w:rPr>
          <w:rFonts w:asciiTheme="majorHAnsi" w:hAnsiTheme="majorHAnsi" w:cstheme="majorHAnsi"/>
        </w:rPr>
        <w:t xml:space="preserve"> (1966) </w:t>
      </w:r>
      <w:r w:rsidRPr="002318FB">
        <w:rPr>
          <w:rFonts w:asciiTheme="majorHAnsi" w:hAnsiTheme="majorHAnsi" w:cstheme="majorHAnsi"/>
          <w:i/>
          <w:iCs/>
        </w:rPr>
        <w:t xml:space="preserve">Quotations from Chairman Mao </w:t>
      </w:r>
      <w:proofErr w:type="spellStart"/>
      <w:r w:rsidRPr="002318FB">
        <w:rPr>
          <w:rFonts w:asciiTheme="majorHAnsi" w:hAnsiTheme="majorHAnsi" w:cstheme="majorHAnsi"/>
          <w:i/>
          <w:iCs/>
        </w:rPr>
        <w:t>Tse</w:t>
      </w:r>
      <w:proofErr w:type="spellEnd"/>
      <w:r w:rsidRPr="002318FB">
        <w:rPr>
          <w:rFonts w:asciiTheme="majorHAnsi" w:hAnsiTheme="majorHAnsi" w:cstheme="majorHAnsi"/>
          <w:i/>
          <w:iCs/>
        </w:rPr>
        <w:t>-tung</w:t>
      </w:r>
      <w:r w:rsidRPr="002318FB">
        <w:rPr>
          <w:rFonts w:asciiTheme="majorHAnsi" w:hAnsiTheme="majorHAnsi" w:cstheme="majorHAnsi"/>
        </w:rPr>
        <w:t>. Beijing: Foreign Languages Press.</w:t>
      </w:r>
      <w:r w:rsidRPr="002318FB">
        <w:rPr>
          <w:rFonts w:asciiTheme="majorHAnsi" w:hAnsiTheme="majorHAnsi" w:cstheme="majorHAnsi"/>
        </w:rPr>
        <w:br/>
      </w:r>
      <w:r w:rsidRPr="002318FB">
        <w:rPr>
          <w:rFonts w:asciiTheme="majorHAnsi" w:hAnsiTheme="majorHAnsi" w:cstheme="majorHAnsi"/>
          <w:b/>
          <w:bCs/>
        </w:rPr>
        <w:t>Marx, K.</w:t>
      </w:r>
      <w:r w:rsidRPr="002318FB">
        <w:rPr>
          <w:rFonts w:asciiTheme="majorHAnsi" w:hAnsiTheme="majorHAnsi" w:cstheme="majorHAnsi"/>
        </w:rPr>
        <w:t xml:space="preserve"> (1867) </w:t>
      </w:r>
      <w:r w:rsidRPr="002318FB">
        <w:rPr>
          <w:rFonts w:asciiTheme="majorHAnsi" w:hAnsiTheme="majorHAnsi" w:cstheme="majorHAnsi"/>
          <w:i/>
          <w:iCs/>
        </w:rPr>
        <w:t>Capital</w:t>
      </w:r>
      <w:r w:rsidRPr="002318FB">
        <w:rPr>
          <w:rFonts w:asciiTheme="majorHAnsi" w:hAnsiTheme="majorHAnsi" w:cstheme="majorHAnsi"/>
        </w:rPr>
        <w:t xml:space="preserve"> (Vol. 1). Hamburg: Otto Meissner Verlag.</w:t>
      </w:r>
      <w:r w:rsidRPr="002318FB">
        <w:rPr>
          <w:rFonts w:asciiTheme="majorHAnsi" w:hAnsiTheme="majorHAnsi" w:cstheme="majorHAnsi"/>
        </w:rPr>
        <w:br/>
      </w:r>
      <w:r w:rsidRPr="002318FB">
        <w:rPr>
          <w:rFonts w:asciiTheme="majorHAnsi" w:hAnsiTheme="majorHAnsi" w:cstheme="majorHAnsi"/>
          <w:b/>
          <w:bCs/>
        </w:rPr>
        <w:t>Marx, K. and Engels, F.</w:t>
      </w:r>
      <w:r w:rsidRPr="002318FB">
        <w:rPr>
          <w:rFonts w:asciiTheme="majorHAnsi" w:hAnsiTheme="majorHAnsi" w:cstheme="majorHAnsi"/>
        </w:rPr>
        <w:t xml:space="preserve"> (1965) </w:t>
      </w:r>
      <w:r w:rsidRPr="002318FB">
        <w:rPr>
          <w:rFonts w:asciiTheme="majorHAnsi" w:hAnsiTheme="majorHAnsi" w:cstheme="majorHAnsi"/>
          <w:i/>
          <w:iCs/>
        </w:rPr>
        <w:t>The German ideology</w:t>
      </w:r>
      <w:r w:rsidRPr="002318FB">
        <w:rPr>
          <w:rFonts w:asciiTheme="majorHAnsi" w:hAnsiTheme="majorHAnsi" w:cstheme="majorHAnsi"/>
        </w:rPr>
        <w:t xml:space="preserve"> (1845). London.</w:t>
      </w:r>
      <w:r w:rsidRPr="002318FB">
        <w:rPr>
          <w:rFonts w:asciiTheme="majorHAnsi" w:hAnsiTheme="majorHAnsi" w:cstheme="majorHAnsi"/>
        </w:rPr>
        <w:br/>
      </w:r>
      <w:r w:rsidRPr="002318FB">
        <w:rPr>
          <w:rFonts w:asciiTheme="majorHAnsi" w:hAnsiTheme="majorHAnsi" w:cstheme="majorHAnsi"/>
          <w:b/>
          <w:bCs/>
        </w:rPr>
        <w:t>Maslow, A.H.</w:t>
      </w:r>
      <w:r w:rsidRPr="002318FB">
        <w:rPr>
          <w:rFonts w:asciiTheme="majorHAnsi" w:hAnsiTheme="majorHAnsi" w:cstheme="majorHAnsi"/>
        </w:rPr>
        <w:t xml:space="preserve"> (2013) </w:t>
      </w:r>
      <w:r w:rsidRPr="002318FB">
        <w:rPr>
          <w:rFonts w:asciiTheme="majorHAnsi" w:hAnsiTheme="majorHAnsi" w:cstheme="majorHAnsi"/>
          <w:i/>
          <w:iCs/>
        </w:rPr>
        <w:t>Toward a psychology of being</w:t>
      </w:r>
      <w:r w:rsidRPr="002318FB">
        <w:rPr>
          <w:rFonts w:asciiTheme="majorHAnsi" w:hAnsiTheme="majorHAnsi" w:cstheme="majorHAnsi"/>
        </w:rPr>
        <w:t>. New York: Simon and Schuster.</w:t>
      </w:r>
      <w:r w:rsidRPr="002318FB">
        <w:rPr>
          <w:rFonts w:asciiTheme="majorHAnsi" w:hAnsiTheme="majorHAnsi" w:cstheme="majorHAnsi"/>
        </w:rPr>
        <w:br/>
      </w:r>
      <w:proofErr w:type="spellStart"/>
      <w:r w:rsidRPr="002318FB">
        <w:rPr>
          <w:rFonts w:asciiTheme="majorHAnsi" w:hAnsiTheme="majorHAnsi" w:cstheme="majorHAnsi"/>
          <w:b/>
          <w:bCs/>
        </w:rPr>
        <w:t>Mavelli</w:t>
      </w:r>
      <w:proofErr w:type="spellEnd"/>
      <w:r w:rsidRPr="002318FB">
        <w:rPr>
          <w:rFonts w:asciiTheme="majorHAnsi" w:hAnsiTheme="majorHAnsi" w:cstheme="majorHAnsi"/>
          <w:b/>
          <w:bCs/>
        </w:rPr>
        <w:t>, L.</w:t>
      </w:r>
      <w:r w:rsidRPr="002318FB">
        <w:rPr>
          <w:rFonts w:asciiTheme="majorHAnsi" w:hAnsiTheme="majorHAnsi" w:cstheme="majorHAnsi"/>
        </w:rPr>
        <w:t xml:space="preserve"> (2019). </w:t>
      </w:r>
      <w:r w:rsidRPr="002318FB">
        <w:rPr>
          <w:rFonts w:asciiTheme="majorHAnsi" w:hAnsiTheme="majorHAnsi" w:cstheme="majorHAnsi"/>
          <w:i/>
          <w:iCs/>
        </w:rPr>
        <w:t>Neoliberalism as Religion</w:t>
      </w:r>
      <w:r w:rsidRPr="002318FB">
        <w:rPr>
          <w:rFonts w:asciiTheme="majorHAnsi" w:hAnsiTheme="majorHAnsi" w:cstheme="majorHAnsi"/>
        </w:rPr>
        <w:t xml:space="preserve">. </w:t>
      </w:r>
      <w:r w:rsidRPr="002318FB">
        <w:rPr>
          <w:rFonts w:asciiTheme="majorHAnsi" w:hAnsiTheme="majorHAnsi" w:cstheme="majorHAnsi"/>
          <w:i/>
          <w:iCs/>
        </w:rPr>
        <w:t>International Political Sociology</w:t>
      </w:r>
      <w:r w:rsidRPr="002318FB">
        <w:rPr>
          <w:rFonts w:asciiTheme="majorHAnsi" w:hAnsiTheme="majorHAnsi" w:cstheme="majorHAnsi"/>
        </w:rPr>
        <w:t xml:space="preserve">, 14(1), 57–76. </w:t>
      </w:r>
      <w:hyperlink r:id="rId21" w:tgtFrame="_new" w:history="1">
        <w:r w:rsidRPr="002318FB">
          <w:rPr>
            <w:rStyle w:val="Hyperlink"/>
            <w:rFonts w:asciiTheme="majorHAnsi" w:hAnsiTheme="majorHAnsi" w:cstheme="majorHAnsi"/>
          </w:rPr>
          <w:t>https://doi.org/10.1093/ips/olz021</w:t>
        </w:r>
      </w:hyperlink>
      <w:r w:rsidRPr="002318FB">
        <w:rPr>
          <w:rFonts w:asciiTheme="majorHAnsi" w:hAnsiTheme="majorHAnsi" w:cstheme="majorHAnsi"/>
        </w:rPr>
        <w:br/>
      </w:r>
      <w:r w:rsidRPr="002318FB">
        <w:rPr>
          <w:rFonts w:asciiTheme="majorHAnsi" w:hAnsiTheme="majorHAnsi" w:cstheme="majorHAnsi"/>
          <w:b/>
          <w:bCs/>
        </w:rPr>
        <w:t>McKinnon, R.</w:t>
      </w:r>
      <w:r w:rsidRPr="002318FB">
        <w:rPr>
          <w:rFonts w:asciiTheme="majorHAnsi" w:hAnsiTheme="majorHAnsi" w:cstheme="majorHAnsi"/>
        </w:rPr>
        <w:t xml:space="preserve"> (2015) ‘Trans*formative experiences’, </w:t>
      </w:r>
      <w:r w:rsidRPr="002318FB">
        <w:rPr>
          <w:rFonts w:asciiTheme="majorHAnsi" w:hAnsiTheme="majorHAnsi" w:cstheme="majorHAnsi"/>
          <w:i/>
          <w:iCs/>
        </w:rPr>
        <w:t xml:space="preserve">Res </w:t>
      </w:r>
      <w:proofErr w:type="spellStart"/>
      <w:r w:rsidRPr="002318FB">
        <w:rPr>
          <w:rFonts w:asciiTheme="majorHAnsi" w:hAnsiTheme="majorHAnsi" w:cstheme="majorHAnsi"/>
          <w:i/>
          <w:iCs/>
        </w:rPr>
        <w:t>Philosophica</w:t>
      </w:r>
      <w:proofErr w:type="spellEnd"/>
      <w:r w:rsidRPr="002318FB">
        <w:rPr>
          <w:rFonts w:asciiTheme="majorHAnsi" w:hAnsiTheme="majorHAnsi" w:cstheme="majorHAnsi"/>
        </w:rPr>
        <w:t>, 92, pp. 419–40.</w:t>
      </w:r>
      <w:r w:rsidRPr="002318FB">
        <w:rPr>
          <w:rFonts w:asciiTheme="majorHAnsi" w:hAnsiTheme="majorHAnsi" w:cstheme="majorHAnsi"/>
        </w:rPr>
        <w:br/>
      </w:r>
      <w:r w:rsidRPr="002318FB">
        <w:rPr>
          <w:rFonts w:asciiTheme="majorHAnsi" w:hAnsiTheme="majorHAnsi" w:cstheme="majorHAnsi"/>
          <w:b/>
          <w:bCs/>
        </w:rPr>
        <w:t>Merton, T.</w:t>
      </w:r>
      <w:r w:rsidRPr="002318FB">
        <w:rPr>
          <w:rFonts w:asciiTheme="majorHAnsi" w:hAnsiTheme="majorHAnsi" w:cstheme="majorHAnsi"/>
        </w:rPr>
        <w:t xml:space="preserve"> (1948) </w:t>
      </w:r>
      <w:r w:rsidRPr="002318FB">
        <w:rPr>
          <w:rFonts w:asciiTheme="majorHAnsi" w:hAnsiTheme="majorHAnsi" w:cstheme="majorHAnsi"/>
          <w:i/>
          <w:iCs/>
        </w:rPr>
        <w:t xml:space="preserve">The Seven </w:t>
      </w:r>
      <w:proofErr w:type="spellStart"/>
      <w:r w:rsidRPr="002318FB">
        <w:rPr>
          <w:rFonts w:asciiTheme="majorHAnsi" w:hAnsiTheme="majorHAnsi" w:cstheme="majorHAnsi"/>
          <w:i/>
          <w:iCs/>
        </w:rPr>
        <w:t>Storey</w:t>
      </w:r>
      <w:proofErr w:type="spellEnd"/>
      <w:r w:rsidRPr="002318FB">
        <w:rPr>
          <w:rFonts w:asciiTheme="majorHAnsi" w:hAnsiTheme="majorHAnsi" w:cstheme="majorHAnsi"/>
          <w:i/>
          <w:iCs/>
        </w:rPr>
        <w:t xml:space="preserve"> Mountain</w:t>
      </w:r>
      <w:r w:rsidRPr="002318FB">
        <w:rPr>
          <w:rFonts w:asciiTheme="majorHAnsi" w:hAnsiTheme="majorHAnsi" w:cstheme="majorHAnsi"/>
        </w:rPr>
        <w:t>. New York: Harcourt, Brace &amp; Co.</w:t>
      </w:r>
      <w:r w:rsidRPr="002318FB">
        <w:rPr>
          <w:rFonts w:asciiTheme="majorHAnsi" w:hAnsiTheme="majorHAnsi" w:cstheme="majorHAnsi"/>
        </w:rPr>
        <w:br/>
      </w:r>
      <w:r w:rsidRPr="002318FB">
        <w:rPr>
          <w:rFonts w:asciiTheme="majorHAnsi" w:hAnsiTheme="majorHAnsi" w:cstheme="majorHAnsi"/>
          <w:b/>
          <w:bCs/>
        </w:rPr>
        <w:t>Myers, K.A.</w:t>
      </w:r>
      <w:r w:rsidRPr="002318FB">
        <w:rPr>
          <w:rFonts w:asciiTheme="majorHAnsi" w:hAnsiTheme="majorHAnsi" w:cstheme="majorHAnsi"/>
        </w:rPr>
        <w:t xml:space="preserve"> (2011) ‘Metanoia and the transformation of opportunity’, </w:t>
      </w:r>
      <w:r w:rsidRPr="002318FB">
        <w:rPr>
          <w:rFonts w:asciiTheme="majorHAnsi" w:hAnsiTheme="majorHAnsi" w:cstheme="majorHAnsi"/>
          <w:i/>
          <w:iCs/>
        </w:rPr>
        <w:t>Rhetoric Society Quarterly</w:t>
      </w:r>
      <w:r w:rsidRPr="002318FB">
        <w:rPr>
          <w:rFonts w:asciiTheme="majorHAnsi" w:hAnsiTheme="majorHAnsi" w:cstheme="majorHAnsi"/>
        </w:rPr>
        <w:t>, 41(1), pp. 1-18.</w:t>
      </w:r>
      <w:r w:rsidRPr="002318FB">
        <w:rPr>
          <w:rFonts w:asciiTheme="majorHAnsi" w:hAnsiTheme="majorHAnsi" w:cstheme="majorHAnsi"/>
        </w:rPr>
        <w:br/>
      </w:r>
      <w:r w:rsidRPr="002318FB">
        <w:rPr>
          <w:rFonts w:asciiTheme="majorHAnsi" w:hAnsiTheme="majorHAnsi" w:cstheme="majorHAnsi"/>
          <w:b/>
          <w:bCs/>
        </w:rPr>
        <w:t xml:space="preserve">Nouwen, </w:t>
      </w:r>
      <w:proofErr w:type="spellStart"/>
      <w:r w:rsidRPr="002318FB">
        <w:rPr>
          <w:rFonts w:asciiTheme="majorHAnsi" w:hAnsiTheme="majorHAnsi" w:cstheme="majorHAnsi"/>
          <w:b/>
          <w:bCs/>
        </w:rPr>
        <w:t>H.J.M</w:t>
      </w:r>
      <w:proofErr w:type="spellEnd"/>
      <w:r w:rsidRPr="002318FB">
        <w:rPr>
          <w:rFonts w:asciiTheme="majorHAnsi" w:hAnsiTheme="majorHAnsi" w:cstheme="majorHAnsi"/>
          <w:b/>
          <w:bCs/>
        </w:rPr>
        <w:t>.</w:t>
      </w:r>
      <w:r w:rsidRPr="002318FB">
        <w:rPr>
          <w:rFonts w:asciiTheme="majorHAnsi" w:hAnsiTheme="majorHAnsi" w:cstheme="majorHAnsi"/>
        </w:rPr>
        <w:t xml:space="preserve"> (1992) </w:t>
      </w:r>
      <w:r w:rsidRPr="002318FB">
        <w:rPr>
          <w:rFonts w:asciiTheme="majorHAnsi" w:hAnsiTheme="majorHAnsi" w:cstheme="majorHAnsi"/>
          <w:i/>
          <w:iCs/>
        </w:rPr>
        <w:t>The return of the prodigal son</w:t>
      </w:r>
      <w:r w:rsidRPr="002318FB">
        <w:rPr>
          <w:rFonts w:asciiTheme="majorHAnsi" w:hAnsiTheme="majorHAnsi" w:cstheme="majorHAnsi"/>
        </w:rPr>
        <w:t xml:space="preserve">. London: </w:t>
      </w:r>
      <w:proofErr w:type="spellStart"/>
      <w:r w:rsidRPr="002318FB">
        <w:rPr>
          <w:rFonts w:asciiTheme="majorHAnsi" w:hAnsiTheme="majorHAnsi" w:cstheme="majorHAnsi"/>
        </w:rPr>
        <w:t>Darton</w:t>
      </w:r>
      <w:proofErr w:type="spellEnd"/>
      <w:r w:rsidRPr="002318FB">
        <w:rPr>
          <w:rFonts w:asciiTheme="majorHAnsi" w:hAnsiTheme="majorHAnsi" w:cstheme="majorHAnsi"/>
        </w:rPr>
        <w:t>, Longman &amp; Todd Ltd.</w:t>
      </w:r>
      <w:r w:rsidRPr="002318FB">
        <w:rPr>
          <w:rFonts w:asciiTheme="majorHAnsi" w:hAnsiTheme="majorHAnsi" w:cstheme="majorHAnsi"/>
        </w:rPr>
        <w:br/>
      </w:r>
      <w:r w:rsidRPr="002318FB">
        <w:rPr>
          <w:rFonts w:asciiTheme="majorHAnsi" w:hAnsiTheme="majorHAnsi" w:cstheme="majorHAnsi"/>
          <w:b/>
          <w:bCs/>
        </w:rPr>
        <w:t>Parfit, D.</w:t>
      </w:r>
      <w:r w:rsidRPr="002318FB">
        <w:rPr>
          <w:rFonts w:asciiTheme="majorHAnsi" w:hAnsiTheme="majorHAnsi" w:cstheme="majorHAnsi"/>
        </w:rPr>
        <w:t xml:space="preserve"> (1984) </w:t>
      </w:r>
      <w:r w:rsidRPr="002318FB">
        <w:rPr>
          <w:rFonts w:asciiTheme="majorHAnsi" w:hAnsiTheme="majorHAnsi" w:cstheme="majorHAnsi"/>
          <w:i/>
          <w:iCs/>
        </w:rPr>
        <w:t>Reasons and persons</w:t>
      </w:r>
      <w:r w:rsidRPr="002318FB">
        <w:rPr>
          <w:rFonts w:asciiTheme="majorHAnsi" w:hAnsiTheme="majorHAnsi" w:cstheme="majorHAnsi"/>
        </w:rPr>
        <w:t>. Oxford: Oxford University Press.</w:t>
      </w:r>
      <w:r w:rsidRPr="002318FB">
        <w:rPr>
          <w:rFonts w:asciiTheme="majorHAnsi" w:hAnsiTheme="majorHAnsi" w:cstheme="majorHAnsi"/>
        </w:rPr>
        <w:br/>
      </w:r>
      <w:r w:rsidRPr="002318FB">
        <w:rPr>
          <w:rFonts w:asciiTheme="majorHAnsi" w:hAnsiTheme="majorHAnsi" w:cstheme="majorHAnsi"/>
          <w:b/>
          <w:bCs/>
        </w:rPr>
        <w:t>Paul, L.A.</w:t>
      </w:r>
      <w:r w:rsidRPr="002318FB">
        <w:rPr>
          <w:rFonts w:asciiTheme="majorHAnsi" w:hAnsiTheme="majorHAnsi" w:cstheme="majorHAnsi"/>
        </w:rPr>
        <w:t xml:space="preserve"> (2015) </w:t>
      </w:r>
      <w:r w:rsidRPr="002318FB">
        <w:rPr>
          <w:rFonts w:asciiTheme="majorHAnsi" w:hAnsiTheme="majorHAnsi" w:cstheme="majorHAnsi"/>
          <w:i/>
          <w:iCs/>
        </w:rPr>
        <w:t>Transformative experience</w:t>
      </w:r>
      <w:r w:rsidRPr="002318FB">
        <w:rPr>
          <w:rFonts w:asciiTheme="majorHAnsi" w:hAnsiTheme="majorHAnsi" w:cstheme="majorHAnsi"/>
        </w:rPr>
        <w:t>. Oxford: Oxford University Press.</w:t>
      </w:r>
      <w:r w:rsidRPr="002318FB">
        <w:rPr>
          <w:rFonts w:asciiTheme="majorHAnsi" w:hAnsiTheme="majorHAnsi" w:cstheme="majorHAnsi"/>
        </w:rPr>
        <w:br/>
      </w:r>
      <w:r w:rsidRPr="002318FB">
        <w:rPr>
          <w:rFonts w:asciiTheme="majorHAnsi" w:hAnsiTheme="majorHAnsi" w:cstheme="majorHAnsi"/>
          <w:b/>
          <w:bCs/>
        </w:rPr>
        <w:t>Peters, D. A. P.</w:t>
      </w:r>
      <w:r w:rsidRPr="002318FB">
        <w:rPr>
          <w:rFonts w:asciiTheme="majorHAnsi" w:hAnsiTheme="majorHAnsi" w:cstheme="majorHAnsi"/>
        </w:rPr>
        <w:t xml:space="preserve"> (1997). </w:t>
      </w:r>
      <w:r w:rsidRPr="002318FB">
        <w:rPr>
          <w:rFonts w:asciiTheme="majorHAnsi" w:hAnsiTheme="majorHAnsi" w:cstheme="majorHAnsi"/>
          <w:i/>
          <w:iCs/>
        </w:rPr>
        <w:t>Born again? The ethics and efficacy of the conversion experience</w:t>
      </w:r>
      <w:r w:rsidRPr="002318FB">
        <w:rPr>
          <w:rFonts w:asciiTheme="majorHAnsi" w:hAnsiTheme="majorHAnsi" w:cstheme="majorHAnsi"/>
        </w:rPr>
        <w:t xml:space="preserve">. </w:t>
      </w:r>
      <w:r w:rsidRPr="002318FB">
        <w:rPr>
          <w:rFonts w:asciiTheme="majorHAnsi" w:hAnsiTheme="majorHAnsi" w:cstheme="majorHAnsi"/>
          <w:i/>
          <w:iCs/>
          <w:lang w:val="fr-FR"/>
        </w:rPr>
        <w:t xml:space="preserve">Journal of Management </w:t>
      </w:r>
      <w:proofErr w:type="spellStart"/>
      <w:r w:rsidRPr="002318FB">
        <w:rPr>
          <w:rFonts w:asciiTheme="majorHAnsi" w:hAnsiTheme="majorHAnsi" w:cstheme="majorHAnsi"/>
          <w:i/>
          <w:iCs/>
          <w:lang w:val="fr-FR"/>
        </w:rPr>
        <w:t>Studies</w:t>
      </w:r>
      <w:proofErr w:type="spellEnd"/>
      <w:r w:rsidRPr="002318FB">
        <w:rPr>
          <w:rFonts w:asciiTheme="majorHAnsi" w:hAnsiTheme="majorHAnsi" w:cstheme="majorHAnsi"/>
          <w:lang w:val="fr-FR"/>
        </w:rPr>
        <w:t xml:space="preserve">, 34(5), 677-701. </w:t>
      </w:r>
      <w:hyperlink r:id="rId22" w:tgtFrame="_new" w:history="1">
        <w:r w:rsidRPr="002318FB">
          <w:rPr>
            <w:rStyle w:val="Hyperlink"/>
            <w:rFonts w:asciiTheme="majorHAnsi" w:hAnsiTheme="majorHAnsi" w:cstheme="majorHAnsi"/>
            <w:lang w:val="fr-FR"/>
          </w:rPr>
          <w:t>https://doi.org/10.1111/1467-6486.00068</w:t>
        </w:r>
      </w:hyperlink>
      <w:r w:rsidRPr="002318FB">
        <w:rPr>
          <w:rFonts w:asciiTheme="majorHAnsi" w:hAnsiTheme="majorHAnsi" w:cstheme="majorHAnsi"/>
          <w:lang w:val="fr-FR"/>
        </w:rPr>
        <w:br/>
      </w:r>
      <w:r w:rsidRPr="002318FB">
        <w:rPr>
          <w:rFonts w:asciiTheme="majorHAnsi" w:hAnsiTheme="majorHAnsi" w:cstheme="majorHAnsi"/>
          <w:b/>
          <w:bCs/>
          <w:lang w:val="fr-FR"/>
        </w:rPr>
        <w:t>Raynaud, A.</w:t>
      </w:r>
      <w:r w:rsidRPr="002318FB">
        <w:rPr>
          <w:rFonts w:asciiTheme="majorHAnsi" w:hAnsiTheme="majorHAnsi" w:cstheme="majorHAnsi"/>
          <w:lang w:val="fr-FR"/>
        </w:rPr>
        <w:t xml:space="preserve"> (2017). </w:t>
      </w:r>
      <w:r w:rsidRPr="002318FB">
        <w:rPr>
          <w:rFonts w:asciiTheme="majorHAnsi" w:hAnsiTheme="majorHAnsi" w:cstheme="majorHAnsi"/>
          <w:i/>
          <w:iCs/>
          <w:lang w:val="fr-FR"/>
        </w:rPr>
        <w:t>Engagement et conversion politique en conjoncture critique</w:t>
      </w:r>
      <w:r w:rsidRPr="002318FB">
        <w:rPr>
          <w:rFonts w:asciiTheme="majorHAnsi" w:hAnsiTheme="majorHAnsi" w:cstheme="majorHAnsi"/>
          <w:lang w:val="fr-FR"/>
        </w:rPr>
        <w:t>. Thèse, Université de Lyon.</w:t>
      </w:r>
      <w:r w:rsidRPr="002318FB">
        <w:rPr>
          <w:rFonts w:asciiTheme="majorHAnsi" w:hAnsiTheme="majorHAnsi" w:cstheme="majorHAnsi"/>
          <w:lang w:val="fr-FR"/>
        </w:rPr>
        <w:br/>
      </w:r>
      <w:r w:rsidRPr="002318FB">
        <w:rPr>
          <w:rFonts w:asciiTheme="majorHAnsi" w:hAnsiTheme="majorHAnsi" w:cstheme="majorHAnsi"/>
          <w:b/>
          <w:bCs/>
          <w:lang w:val="fr-FR"/>
        </w:rPr>
        <w:t xml:space="preserve">Reuter, K. and </w:t>
      </w:r>
      <w:proofErr w:type="spellStart"/>
      <w:r w:rsidRPr="002318FB">
        <w:rPr>
          <w:rFonts w:asciiTheme="majorHAnsi" w:hAnsiTheme="majorHAnsi" w:cstheme="majorHAnsi"/>
          <w:b/>
          <w:bCs/>
          <w:lang w:val="fr-FR"/>
        </w:rPr>
        <w:t>Messerli</w:t>
      </w:r>
      <w:proofErr w:type="spellEnd"/>
      <w:r w:rsidRPr="002318FB">
        <w:rPr>
          <w:rFonts w:asciiTheme="majorHAnsi" w:hAnsiTheme="majorHAnsi" w:cstheme="majorHAnsi"/>
          <w:b/>
          <w:bCs/>
          <w:lang w:val="fr-FR"/>
        </w:rPr>
        <w:t>, M.</w:t>
      </w:r>
      <w:r w:rsidRPr="002318FB">
        <w:rPr>
          <w:rFonts w:asciiTheme="majorHAnsi" w:hAnsiTheme="majorHAnsi" w:cstheme="majorHAnsi"/>
          <w:lang w:val="fr-FR"/>
        </w:rPr>
        <w:t xml:space="preserve"> (2018) ‘Transformative </w:t>
      </w:r>
      <w:proofErr w:type="spellStart"/>
      <w:r w:rsidRPr="002318FB">
        <w:rPr>
          <w:rFonts w:asciiTheme="majorHAnsi" w:hAnsiTheme="majorHAnsi" w:cstheme="majorHAnsi"/>
          <w:lang w:val="fr-FR"/>
        </w:rPr>
        <w:t>decisions</w:t>
      </w:r>
      <w:proofErr w:type="spellEnd"/>
      <w:r w:rsidRPr="002318FB">
        <w:rPr>
          <w:rFonts w:asciiTheme="majorHAnsi" w:hAnsiTheme="majorHAnsi" w:cstheme="majorHAnsi"/>
          <w:lang w:val="fr-FR"/>
        </w:rPr>
        <w:t xml:space="preserve">’, </w:t>
      </w:r>
      <w:r w:rsidRPr="002318FB">
        <w:rPr>
          <w:rFonts w:asciiTheme="majorHAnsi" w:hAnsiTheme="majorHAnsi" w:cstheme="majorHAnsi"/>
          <w:i/>
          <w:iCs/>
          <w:lang w:val="fr-FR"/>
        </w:rPr>
        <w:t xml:space="preserve">Journal of </w:t>
      </w:r>
      <w:proofErr w:type="spellStart"/>
      <w:r w:rsidRPr="002318FB">
        <w:rPr>
          <w:rFonts w:asciiTheme="majorHAnsi" w:hAnsiTheme="majorHAnsi" w:cstheme="majorHAnsi"/>
          <w:i/>
          <w:iCs/>
          <w:lang w:val="fr-FR"/>
        </w:rPr>
        <w:t>Philosophy</w:t>
      </w:r>
      <w:proofErr w:type="spellEnd"/>
      <w:r w:rsidRPr="002318FB">
        <w:rPr>
          <w:rFonts w:asciiTheme="majorHAnsi" w:hAnsiTheme="majorHAnsi" w:cstheme="majorHAnsi"/>
          <w:lang w:val="fr-FR"/>
        </w:rPr>
        <w:t>, 115, pp. 313–35.</w:t>
      </w:r>
      <w:r w:rsidRPr="002318FB">
        <w:rPr>
          <w:rFonts w:asciiTheme="majorHAnsi" w:hAnsiTheme="majorHAnsi" w:cstheme="majorHAnsi"/>
          <w:lang w:val="fr-FR"/>
        </w:rPr>
        <w:br/>
      </w:r>
      <w:r w:rsidRPr="002318FB">
        <w:rPr>
          <w:rFonts w:asciiTheme="majorHAnsi" w:hAnsiTheme="majorHAnsi" w:cstheme="majorHAnsi"/>
          <w:b/>
          <w:bCs/>
        </w:rPr>
        <w:t>Rogers, C.R.</w:t>
      </w:r>
      <w:r w:rsidRPr="002318FB">
        <w:rPr>
          <w:rFonts w:asciiTheme="majorHAnsi" w:hAnsiTheme="majorHAnsi" w:cstheme="majorHAnsi"/>
        </w:rPr>
        <w:t xml:space="preserve"> (1961) </w:t>
      </w:r>
      <w:r w:rsidRPr="002318FB">
        <w:rPr>
          <w:rFonts w:asciiTheme="majorHAnsi" w:hAnsiTheme="majorHAnsi" w:cstheme="majorHAnsi"/>
          <w:i/>
          <w:iCs/>
        </w:rPr>
        <w:t xml:space="preserve">On becoming a </w:t>
      </w:r>
      <w:proofErr w:type="gramStart"/>
      <w:r w:rsidRPr="002318FB">
        <w:rPr>
          <w:rFonts w:asciiTheme="majorHAnsi" w:hAnsiTheme="majorHAnsi" w:cstheme="majorHAnsi"/>
          <w:i/>
          <w:iCs/>
        </w:rPr>
        <w:t>person:</w:t>
      </w:r>
      <w:proofErr w:type="gramEnd"/>
      <w:r w:rsidRPr="002318FB">
        <w:rPr>
          <w:rFonts w:asciiTheme="majorHAnsi" w:hAnsiTheme="majorHAnsi" w:cstheme="majorHAnsi"/>
          <w:i/>
          <w:iCs/>
        </w:rPr>
        <w:t xml:space="preserve"> A therapist’s view of psychotherapy</w:t>
      </w:r>
      <w:r w:rsidRPr="002318FB">
        <w:rPr>
          <w:rFonts w:asciiTheme="majorHAnsi" w:hAnsiTheme="majorHAnsi" w:cstheme="majorHAnsi"/>
        </w:rPr>
        <w:t>.</w:t>
      </w:r>
      <w:r w:rsidRPr="002318FB">
        <w:rPr>
          <w:rFonts w:asciiTheme="majorHAnsi" w:hAnsiTheme="majorHAnsi" w:cstheme="majorHAnsi"/>
        </w:rPr>
        <w:br/>
      </w:r>
      <w:r w:rsidRPr="002318FB">
        <w:rPr>
          <w:rFonts w:asciiTheme="majorHAnsi" w:hAnsiTheme="majorHAnsi" w:cstheme="majorHAnsi"/>
          <w:b/>
          <w:bCs/>
        </w:rPr>
        <w:t>Rosenberg, A.</w:t>
      </w:r>
      <w:r w:rsidRPr="002318FB">
        <w:rPr>
          <w:rFonts w:asciiTheme="majorHAnsi" w:hAnsiTheme="majorHAnsi" w:cstheme="majorHAnsi"/>
        </w:rPr>
        <w:t xml:space="preserve"> (1930) </w:t>
      </w:r>
      <w:r w:rsidRPr="002318FB">
        <w:rPr>
          <w:rFonts w:asciiTheme="majorHAnsi" w:hAnsiTheme="majorHAnsi" w:cstheme="majorHAnsi"/>
          <w:i/>
          <w:iCs/>
        </w:rPr>
        <w:t>The myth of the twentieth century</w:t>
      </w:r>
      <w:r w:rsidRPr="002318FB">
        <w:rPr>
          <w:rFonts w:asciiTheme="majorHAnsi" w:hAnsiTheme="majorHAnsi" w:cstheme="majorHAnsi"/>
        </w:rPr>
        <w:t>. Trans. R. Manheim. New York: Long Island University Press.</w:t>
      </w:r>
      <w:r w:rsidRPr="002318FB">
        <w:rPr>
          <w:rFonts w:asciiTheme="majorHAnsi" w:hAnsiTheme="majorHAnsi" w:cstheme="majorHAnsi"/>
        </w:rPr>
        <w:br/>
      </w:r>
      <w:proofErr w:type="spellStart"/>
      <w:r w:rsidRPr="002318FB">
        <w:rPr>
          <w:rFonts w:asciiTheme="majorHAnsi" w:hAnsiTheme="majorHAnsi" w:cstheme="majorHAnsi"/>
          <w:b/>
          <w:bCs/>
        </w:rPr>
        <w:t>Schauffler</w:t>
      </w:r>
      <w:proofErr w:type="spellEnd"/>
      <w:r w:rsidRPr="002318FB">
        <w:rPr>
          <w:rFonts w:asciiTheme="majorHAnsi" w:hAnsiTheme="majorHAnsi" w:cstheme="majorHAnsi"/>
          <w:b/>
          <w:bCs/>
        </w:rPr>
        <w:t>, R.</w:t>
      </w:r>
      <w:r w:rsidRPr="002318FB">
        <w:rPr>
          <w:rFonts w:asciiTheme="majorHAnsi" w:hAnsiTheme="majorHAnsi" w:cstheme="majorHAnsi"/>
        </w:rPr>
        <w:t xml:space="preserve"> (2003) </w:t>
      </w:r>
      <w:r w:rsidRPr="002318FB">
        <w:rPr>
          <w:rFonts w:asciiTheme="majorHAnsi" w:hAnsiTheme="majorHAnsi" w:cstheme="majorHAnsi"/>
          <w:i/>
          <w:iCs/>
        </w:rPr>
        <w:t>Turning to Earth</w:t>
      </w:r>
      <w:r w:rsidRPr="002318FB">
        <w:rPr>
          <w:rFonts w:asciiTheme="majorHAnsi" w:hAnsiTheme="majorHAnsi" w:cstheme="majorHAnsi"/>
        </w:rPr>
        <w:t>.</w:t>
      </w:r>
      <w:r w:rsidRPr="002318FB">
        <w:rPr>
          <w:rFonts w:asciiTheme="majorHAnsi" w:hAnsiTheme="majorHAnsi" w:cstheme="majorHAnsi"/>
        </w:rPr>
        <w:br/>
      </w:r>
      <w:proofErr w:type="spellStart"/>
      <w:r w:rsidRPr="002318FB">
        <w:rPr>
          <w:rFonts w:asciiTheme="majorHAnsi" w:hAnsiTheme="majorHAnsi" w:cstheme="majorHAnsi"/>
          <w:b/>
          <w:bCs/>
        </w:rPr>
        <w:t>Sijtsma</w:t>
      </w:r>
      <w:proofErr w:type="spellEnd"/>
      <w:r w:rsidRPr="002318FB">
        <w:rPr>
          <w:rFonts w:asciiTheme="majorHAnsi" w:hAnsiTheme="majorHAnsi" w:cstheme="majorHAnsi"/>
          <w:b/>
          <w:bCs/>
        </w:rPr>
        <w:t>, K.</w:t>
      </w:r>
      <w:r w:rsidRPr="002318FB">
        <w:rPr>
          <w:rFonts w:asciiTheme="majorHAnsi" w:hAnsiTheme="majorHAnsi" w:cstheme="majorHAnsi"/>
        </w:rPr>
        <w:t xml:space="preserve"> (2021). </w:t>
      </w:r>
      <w:r w:rsidRPr="002318FB">
        <w:rPr>
          <w:rFonts w:asciiTheme="majorHAnsi" w:hAnsiTheme="majorHAnsi" w:cstheme="majorHAnsi"/>
          <w:lang w:val="en-GB"/>
        </w:rPr>
        <w:t xml:space="preserve">Values in psychometrics. </w:t>
      </w:r>
      <w:r w:rsidRPr="002318FB">
        <w:rPr>
          <w:rFonts w:asciiTheme="majorHAnsi" w:hAnsiTheme="majorHAnsi" w:cstheme="majorHAnsi"/>
          <w:i/>
          <w:iCs/>
          <w:lang w:val="en-GB"/>
        </w:rPr>
        <w:t>Psychometrika</w:t>
      </w:r>
      <w:r w:rsidRPr="002318FB">
        <w:rPr>
          <w:rFonts w:asciiTheme="majorHAnsi" w:hAnsiTheme="majorHAnsi" w:cstheme="majorHAnsi"/>
          <w:lang w:val="en-GB"/>
        </w:rPr>
        <w:t xml:space="preserve">. </w:t>
      </w:r>
      <w:hyperlink r:id="rId23" w:tgtFrame="_new" w:history="1">
        <w:r w:rsidRPr="002318FB">
          <w:rPr>
            <w:rStyle w:val="Hyperlink"/>
            <w:rFonts w:asciiTheme="majorHAnsi" w:hAnsiTheme="majorHAnsi" w:cstheme="majorHAnsi"/>
            <w:lang w:val="en-GB"/>
          </w:rPr>
          <w:t>https://pmc.ncbi.nlm.nih.gov/articles/PMC9069645/</w:t>
        </w:r>
      </w:hyperlink>
      <w:r w:rsidRPr="002318FB">
        <w:rPr>
          <w:rFonts w:asciiTheme="majorHAnsi" w:hAnsiTheme="majorHAnsi" w:cstheme="majorHAnsi"/>
          <w:lang w:val="en-GB"/>
        </w:rPr>
        <w:br/>
      </w:r>
      <w:proofErr w:type="spellStart"/>
      <w:r w:rsidRPr="002318FB">
        <w:rPr>
          <w:rFonts w:asciiTheme="majorHAnsi" w:hAnsiTheme="majorHAnsi" w:cstheme="majorHAnsi"/>
          <w:b/>
          <w:bCs/>
          <w:lang w:val="en-GB"/>
        </w:rPr>
        <w:t>Slezkine</w:t>
      </w:r>
      <w:proofErr w:type="spellEnd"/>
      <w:r w:rsidRPr="002318FB">
        <w:rPr>
          <w:rFonts w:asciiTheme="majorHAnsi" w:hAnsiTheme="majorHAnsi" w:cstheme="majorHAnsi"/>
          <w:b/>
          <w:bCs/>
          <w:lang w:val="en-GB"/>
        </w:rPr>
        <w:t>, Y.</w:t>
      </w:r>
      <w:r w:rsidRPr="002318FB">
        <w:rPr>
          <w:rFonts w:asciiTheme="majorHAnsi" w:hAnsiTheme="majorHAnsi" w:cstheme="majorHAnsi"/>
          <w:lang w:val="en-GB"/>
        </w:rPr>
        <w:t xml:space="preserve"> (2017). </w:t>
      </w:r>
      <w:r w:rsidRPr="002318FB">
        <w:rPr>
          <w:rFonts w:asciiTheme="majorHAnsi" w:hAnsiTheme="majorHAnsi" w:cstheme="majorHAnsi"/>
          <w:i/>
          <w:iCs/>
        </w:rPr>
        <w:t>The house of government</w:t>
      </w:r>
      <w:r w:rsidRPr="002318FB">
        <w:rPr>
          <w:rFonts w:asciiTheme="majorHAnsi" w:hAnsiTheme="majorHAnsi" w:cstheme="majorHAnsi"/>
        </w:rPr>
        <w:t>. Princeton University Press.</w:t>
      </w:r>
      <w:r w:rsidRPr="002318FB">
        <w:rPr>
          <w:rFonts w:asciiTheme="majorHAnsi" w:hAnsiTheme="majorHAnsi" w:cstheme="majorHAnsi"/>
        </w:rPr>
        <w:br/>
      </w:r>
      <w:proofErr w:type="spellStart"/>
      <w:r w:rsidRPr="002318FB">
        <w:rPr>
          <w:rFonts w:asciiTheme="majorHAnsi" w:hAnsiTheme="majorHAnsi" w:cstheme="majorHAnsi"/>
          <w:b/>
          <w:bCs/>
        </w:rPr>
        <w:lastRenderedPageBreak/>
        <w:t>Tjeltveit</w:t>
      </w:r>
      <w:proofErr w:type="spellEnd"/>
      <w:r w:rsidRPr="002318FB">
        <w:rPr>
          <w:rFonts w:asciiTheme="majorHAnsi" w:hAnsiTheme="majorHAnsi" w:cstheme="majorHAnsi"/>
          <w:b/>
          <w:bCs/>
        </w:rPr>
        <w:t>, A. C.</w:t>
      </w:r>
      <w:r w:rsidRPr="002318FB">
        <w:rPr>
          <w:rFonts w:asciiTheme="majorHAnsi" w:hAnsiTheme="majorHAnsi" w:cstheme="majorHAnsi"/>
        </w:rPr>
        <w:t xml:space="preserve"> (1986). The ethics of value conversion in psychotherapy. </w:t>
      </w:r>
      <w:proofErr w:type="spellStart"/>
      <w:r w:rsidRPr="002318FB">
        <w:rPr>
          <w:rFonts w:asciiTheme="majorHAnsi" w:hAnsiTheme="majorHAnsi" w:cstheme="majorHAnsi"/>
          <w:i/>
          <w:iCs/>
          <w:lang w:val="fr-FR"/>
        </w:rPr>
        <w:t>Clinical</w:t>
      </w:r>
      <w:proofErr w:type="spellEnd"/>
      <w:r w:rsidRPr="002318FB">
        <w:rPr>
          <w:rFonts w:asciiTheme="majorHAnsi" w:hAnsiTheme="majorHAnsi" w:cstheme="majorHAnsi"/>
          <w:i/>
          <w:iCs/>
          <w:lang w:val="fr-FR"/>
        </w:rPr>
        <w:t xml:space="preserve"> Psychology </w:t>
      </w:r>
      <w:proofErr w:type="spellStart"/>
      <w:r w:rsidRPr="002318FB">
        <w:rPr>
          <w:rFonts w:asciiTheme="majorHAnsi" w:hAnsiTheme="majorHAnsi" w:cstheme="majorHAnsi"/>
          <w:i/>
          <w:iCs/>
          <w:lang w:val="fr-FR"/>
        </w:rPr>
        <w:t>Review</w:t>
      </w:r>
      <w:proofErr w:type="spellEnd"/>
      <w:r w:rsidRPr="002318FB">
        <w:rPr>
          <w:rFonts w:asciiTheme="majorHAnsi" w:hAnsiTheme="majorHAnsi" w:cstheme="majorHAnsi"/>
          <w:lang w:val="fr-FR"/>
        </w:rPr>
        <w:t>, 6(6), 515-537.</w:t>
      </w:r>
      <w:r w:rsidRPr="002318FB">
        <w:rPr>
          <w:rFonts w:asciiTheme="majorHAnsi" w:hAnsiTheme="majorHAnsi" w:cstheme="majorHAnsi"/>
          <w:lang w:val="fr-FR"/>
        </w:rPr>
        <w:br/>
      </w:r>
      <w:r w:rsidRPr="002318FB">
        <w:rPr>
          <w:rFonts w:asciiTheme="majorHAnsi" w:hAnsiTheme="majorHAnsi" w:cstheme="majorHAnsi"/>
          <w:b/>
          <w:bCs/>
          <w:lang w:val="fr-FR"/>
        </w:rPr>
        <w:t>Veyne, P.</w:t>
      </w:r>
      <w:r w:rsidRPr="002318FB">
        <w:rPr>
          <w:rFonts w:asciiTheme="majorHAnsi" w:hAnsiTheme="majorHAnsi" w:cstheme="majorHAnsi"/>
          <w:lang w:val="fr-FR"/>
        </w:rPr>
        <w:t xml:space="preserve"> (1971). </w:t>
      </w:r>
      <w:r w:rsidRPr="002318FB">
        <w:rPr>
          <w:rFonts w:asciiTheme="majorHAnsi" w:hAnsiTheme="majorHAnsi" w:cstheme="majorHAnsi"/>
          <w:i/>
          <w:iCs/>
          <w:lang w:val="fr-FR"/>
        </w:rPr>
        <w:t>Comment on écrit l’histoire</w:t>
      </w:r>
      <w:r w:rsidRPr="002318FB">
        <w:rPr>
          <w:rFonts w:asciiTheme="majorHAnsi" w:hAnsiTheme="majorHAnsi" w:cstheme="majorHAnsi"/>
          <w:lang w:val="fr-FR"/>
        </w:rPr>
        <w:t>. Seuil.</w:t>
      </w:r>
      <w:r w:rsidRPr="002318FB">
        <w:rPr>
          <w:rFonts w:asciiTheme="majorHAnsi" w:hAnsiTheme="majorHAnsi" w:cstheme="majorHAnsi"/>
          <w:lang w:val="fr-FR"/>
        </w:rPr>
        <w:br/>
      </w:r>
      <w:r w:rsidRPr="002318FB">
        <w:rPr>
          <w:rFonts w:asciiTheme="majorHAnsi" w:hAnsiTheme="majorHAnsi" w:cstheme="majorHAnsi"/>
          <w:b/>
          <w:bCs/>
        </w:rPr>
        <w:t>Weber, M.</w:t>
      </w:r>
      <w:r w:rsidRPr="002318FB">
        <w:rPr>
          <w:rFonts w:asciiTheme="majorHAnsi" w:hAnsiTheme="majorHAnsi" w:cstheme="majorHAnsi"/>
        </w:rPr>
        <w:t xml:space="preserve"> (1946) 'Science as </w:t>
      </w:r>
      <w:proofErr w:type="gramStart"/>
      <w:r w:rsidRPr="002318FB">
        <w:rPr>
          <w:rFonts w:asciiTheme="majorHAnsi" w:hAnsiTheme="majorHAnsi" w:cstheme="majorHAnsi"/>
        </w:rPr>
        <w:t>a</w:t>
      </w:r>
      <w:proofErr w:type="gramEnd"/>
      <w:r w:rsidRPr="002318FB">
        <w:rPr>
          <w:rFonts w:asciiTheme="majorHAnsi" w:hAnsiTheme="majorHAnsi" w:cstheme="majorHAnsi"/>
        </w:rPr>
        <w:t xml:space="preserve"> Vocation', in </w:t>
      </w:r>
      <w:proofErr w:type="spellStart"/>
      <w:r w:rsidRPr="002318FB">
        <w:rPr>
          <w:rFonts w:asciiTheme="majorHAnsi" w:hAnsiTheme="majorHAnsi" w:cstheme="majorHAnsi"/>
        </w:rPr>
        <w:t>Gerth</w:t>
      </w:r>
      <w:proofErr w:type="spellEnd"/>
      <w:r w:rsidRPr="002318FB">
        <w:rPr>
          <w:rFonts w:asciiTheme="majorHAnsi" w:hAnsiTheme="majorHAnsi" w:cstheme="majorHAnsi"/>
        </w:rPr>
        <w:t xml:space="preserve"> &amp; Mills (eds.) </w:t>
      </w:r>
      <w:r w:rsidRPr="002318FB">
        <w:rPr>
          <w:rFonts w:asciiTheme="majorHAnsi" w:hAnsiTheme="majorHAnsi" w:cstheme="majorHAnsi"/>
          <w:i/>
          <w:iCs/>
        </w:rPr>
        <w:t>From Max Weber</w:t>
      </w:r>
      <w:r w:rsidRPr="002318FB">
        <w:rPr>
          <w:rFonts w:asciiTheme="majorHAnsi" w:hAnsiTheme="majorHAnsi" w:cstheme="majorHAnsi"/>
        </w:rPr>
        <w:t>. New York: Oxford University Press, pp. 129-156.</w:t>
      </w:r>
      <w:r w:rsidRPr="002318FB">
        <w:rPr>
          <w:rFonts w:asciiTheme="majorHAnsi" w:hAnsiTheme="majorHAnsi" w:cstheme="majorHAnsi"/>
        </w:rPr>
        <w:br/>
      </w:r>
      <w:r w:rsidRPr="002318FB">
        <w:rPr>
          <w:rFonts w:asciiTheme="majorHAnsi" w:hAnsiTheme="majorHAnsi" w:cstheme="majorHAnsi"/>
          <w:b/>
          <w:bCs/>
        </w:rPr>
        <w:t>Woods, R., Fernandez, A., &amp; Coen, S.</w:t>
      </w:r>
      <w:r w:rsidRPr="002318FB">
        <w:rPr>
          <w:rFonts w:asciiTheme="majorHAnsi" w:hAnsiTheme="majorHAnsi" w:cstheme="majorHAnsi"/>
        </w:rPr>
        <w:t xml:space="preserve"> (2012). </w:t>
      </w:r>
      <w:r w:rsidRPr="002318FB">
        <w:rPr>
          <w:rFonts w:asciiTheme="majorHAnsi" w:hAnsiTheme="majorHAnsi" w:cstheme="majorHAnsi"/>
          <w:i/>
          <w:iCs/>
        </w:rPr>
        <w:t>The use of religious metaphors by UK newspapers</w:t>
      </w:r>
      <w:r w:rsidRPr="002318FB">
        <w:rPr>
          <w:rFonts w:asciiTheme="majorHAnsi" w:hAnsiTheme="majorHAnsi" w:cstheme="majorHAnsi"/>
        </w:rPr>
        <w:t xml:space="preserve">. </w:t>
      </w:r>
      <w:r w:rsidRPr="002318FB">
        <w:rPr>
          <w:rFonts w:asciiTheme="majorHAnsi" w:hAnsiTheme="majorHAnsi" w:cstheme="majorHAnsi"/>
          <w:i/>
          <w:iCs/>
        </w:rPr>
        <w:t>Public understanding of science</w:t>
      </w:r>
      <w:r w:rsidRPr="002318FB">
        <w:rPr>
          <w:rFonts w:asciiTheme="majorHAnsi" w:hAnsiTheme="majorHAnsi" w:cstheme="majorHAnsi"/>
        </w:rPr>
        <w:t>, 21, 323-39. https://doi.org/10.1177/0963662510385061</w:t>
      </w:r>
      <w:r w:rsidRPr="002318FB">
        <w:rPr>
          <w:rFonts w:asciiTheme="majorHAnsi" w:hAnsiTheme="majorHAnsi" w:cstheme="majorHAnsi"/>
        </w:rPr>
        <w:br/>
      </w:r>
      <w:r w:rsidRPr="002318FB">
        <w:rPr>
          <w:rFonts w:asciiTheme="majorHAnsi" w:hAnsiTheme="majorHAnsi" w:cstheme="majorHAnsi"/>
          <w:b/>
          <w:bCs/>
        </w:rPr>
        <w:t>Yang, X., Qiu, H., &amp; Zhu, R.</w:t>
      </w:r>
      <w:r w:rsidRPr="002318FB">
        <w:rPr>
          <w:rFonts w:asciiTheme="majorHAnsi" w:hAnsiTheme="majorHAnsi" w:cstheme="majorHAnsi"/>
        </w:rPr>
        <w:t xml:space="preserve"> (2022). </w:t>
      </w:r>
      <w:r w:rsidRPr="002318FB">
        <w:rPr>
          <w:rFonts w:asciiTheme="majorHAnsi" w:hAnsiTheme="majorHAnsi" w:cstheme="majorHAnsi"/>
          <w:i/>
          <w:iCs/>
        </w:rPr>
        <w:t>Bargaining with patriarchy or converting men into pro-feminists</w:t>
      </w:r>
      <w:r w:rsidRPr="002318FB">
        <w:rPr>
          <w:rFonts w:asciiTheme="majorHAnsi" w:hAnsiTheme="majorHAnsi" w:cstheme="majorHAnsi"/>
        </w:rPr>
        <w:t xml:space="preserve">. </w:t>
      </w:r>
      <w:r w:rsidRPr="002318FB">
        <w:rPr>
          <w:rFonts w:asciiTheme="majorHAnsi" w:hAnsiTheme="majorHAnsi" w:cstheme="majorHAnsi"/>
          <w:i/>
          <w:iCs/>
        </w:rPr>
        <w:t>Feminist Media Studies</w:t>
      </w:r>
      <w:r w:rsidRPr="002318FB">
        <w:rPr>
          <w:rFonts w:asciiTheme="majorHAnsi" w:hAnsiTheme="majorHAnsi" w:cstheme="majorHAnsi"/>
        </w:rPr>
        <w:t xml:space="preserve">, 23(6), 2610–2628. </w:t>
      </w:r>
      <w:hyperlink r:id="rId24" w:tgtFrame="_new" w:history="1">
        <w:r w:rsidRPr="002318FB">
          <w:rPr>
            <w:rStyle w:val="Hyperlink"/>
            <w:rFonts w:asciiTheme="majorHAnsi" w:hAnsiTheme="majorHAnsi" w:cstheme="majorHAnsi"/>
          </w:rPr>
          <w:t>https://doi.org/10.1080/14680777.2022.2075909</w:t>
        </w:r>
      </w:hyperlink>
      <w:r w:rsidRPr="002318FB">
        <w:rPr>
          <w:rFonts w:asciiTheme="majorHAnsi" w:hAnsiTheme="majorHAnsi" w:cstheme="majorHAnsi"/>
        </w:rPr>
        <w:br/>
      </w:r>
      <w:r w:rsidRPr="002318FB">
        <w:rPr>
          <w:rFonts w:asciiTheme="majorHAnsi" w:hAnsiTheme="majorHAnsi" w:cstheme="majorHAnsi"/>
          <w:b/>
          <w:bCs/>
        </w:rPr>
        <w:t>Zedong, M.</w:t>
      </w:r>
      <w:r w:rsidRPr="002318FB">
        <w:rPr>
          <w:rFonts w:asciiTheme="majorHAnsi" w:hAnsiTheme="majorHAnsi" w:cstheme="majorHAnsi"/>
        </w:rPr>
        <w:t xml:space="preserve"> (1940). </w:t>
      </w:r>
      <w:r w:rsidRPr="002318FB">
        <w:rPr>
          <w:rFonts w:asciiTheme="majorHAnsi" w:hAnsiTheme="majorHAnsi" w:cstheme="majorHAnsi"/>
          <w:i/>
          <w:iCs/>
        </w:rPr>
        <w:t>On new democracy</w:t>
      </w:r>
      <w:r w:rsidRPr="002318FB">
        <w:rPr>
          <w:rFonts w:asciiTheme="majorHAnsi" w:hAnsiTheme="majorHAnsi" w:cstheme="majorHAnsi"/>
        </w:rPr>
        <w:t xml:space="preserve">. </w:t>
      </w:r>
      <w:r w:rsidRPr="002318FB">
        <w:rPr>
          <w:rFonts w:asciiTheme="majorHAnsi" w:hAnsiTheme="majorHAnsi" w:cstheme="majorHAnsi"/>
          <w:i/>
          <w:iCs/>
        </w:rPr>
        <w:t xml:space="preserve">Selected works of Mao </w:t>
      </w:r>
      <w:proofErr w:type="spellStart"/>
      <w:r w:rsidRPr="002318FB">
        <w:rPr>
          <w:rFonts w:asciiTheme="majorHAnsi" w:hAnsiTheme="majorHAnsi" w:cstheme="majorHAnsi"/>
          <w:i/>
          <w:iCs/>
        </w:rPr>
        <w:t>Tse</w:t>
      </w:r>
      <w:proofErr w:type="spellEnd"/>
      <w:r w:rsidRPr="002318FB">
        <w:rPr>
          <w:rFonts w:asciiTheme="majorHAnsi" w:hAnsiTheme="majorHAnsi" w:cstheme="majorHAnsi"/>
          <w:i/>
          <w:iCs/>
        </w:rPr>
        <w:t>-tung</w:t>
      </w:r>
      <w:r w:rsidRPr="002318FB">
        <w:rPr>
          <w:rFonts w:asciiTheme="majorHAnsi" w:hAnsiTheme="majorHAnsi" w:cstheme="majorHAnsi"/>
        </w:rPr>
        <w:t>, 2, 1965-1977.</w:t>
      </w:r>
    </w:p>
    <w:p w14:paraId="38C5C0DE" w14:textId="77777777" w:rsidR="002318FB" w:rsidRPr="002318FB" w:rsidRDefault="002318FB" w:rsidP="00ED3B2A">
      <w:pPr>
        <w:spacing w:before="120" w:after="120" w:line="240" w:lineRule="auto"/>
        <w:rPr>
          <w:rFonts w:asciiTheme="majorHAnsi" w:hAnsiTheme="majorHAnsi" w:cstheme="majorHAnsi"/>
          <w:sz w:val="24"/>
          <w:szCs w:val="24"/>
          <w:lang w:val="en-GB"/>
        </w:rPr>
      </w:pPr>
    </w:p>
    <w:p w14:paraId="430A80AF" w14:textId="7BAEB0D9" w:rsidR="00ED3B2A" w:rsidRPr="00ED3B2A" w:rsidRDefault="00ED3B2A" w:rsidP="00ED3B2A">
      <w:pPr>
        <w:spacing w:before="120" w:after="120" w:line="240" w:lineRule="auto"/>
        <w:rPr>
          <w:rFonts w:asciiTheme="majorHAnsi" w:hAnsiTheme="majorHAnsi" w:cstheme="majorHAnsi"/>
        </w:rPr>
      </w:pPr>
    </w:p>
    <w:sectPr w:rsidR="00ED3B2A" w:rsidRPr="00ED3B2A" w:rsidSect="00370560">
      <w:footerReference w:type="default" r:id="rId25"/>
      <w:headerReference w:type="first" r:id="rId26"/>
      <w:pgSz w:w="12240" w:h="15840"/>
      <w:pgMar w:top="1440" w:right="1440" w:bottom="1080" w:left="1440" w:header="720" w:footer="720" w:gutter="0"/>
      <w:pgNumType w:start="1"/>
      <w:cols w:space="1701"/>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639E4" w14:textId="77777777" w:rsidR="00930CFD" w:rsidRDefault="00930CFD">
      <w:pPr>
        <w:spacing w:line="240" w:lineRule="auto"/>
      </w:pPr>
      <w:r>
        <w:separator/>
      </w:r>
    </w:p>
  </w:endnote>
  <w:endnote w:type="continuationSeparator" w:id="0">
    <w:p w14:paraId="644874F6" w14:textId="77777777" w:rsidR="00930CFD" w:rsidRDefault="00930C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4034227"/>
      <w:docPartObj>
        <w:docPartGallery w:val="Page Numbers (Bottom of Page)"/>
        <w:docPartUnique/>
      </w:docPartObj>
    </w:sdtPr>
    <w:sdtEndPr>
      <w:rPr>
        <w:noProof/>
      </w:rPr>
    </w:sdtEndPr>
    <w:sdtContent>
      <w:p w14:paraId="1A95CB62" w14:textId="6399F927" w:rsidR="00370560" w:rsidRDefault="0037056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D0929F" w14:textId="77777777" w:rsidR="00370560" w:rsidRDefault="003705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44477" w14:textId="77777777" w:rsidR="00930CFD" w:rsidRDefault="00930CFD">
      <w:pPr>
        <w:spacing w:line="240" w:lineRule="auto"/>
      </w:pPr>
      <w:r>
        <w:separator/>
      </w:r>
    </w:p>
  </w:footnote>
  <w:footnote w:type="continuationSeparator" w:id="0">
    <w:p w14:paraId="6D00F5B9" w14:textId="77777777" w:rsidR="00930CFD" w:rsidRDefault="00930C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800AD" w14:textId="77777777" w:rsidR="006C2BFB" w:rsidRDefault="00000000">
    <w:r>
      <w:rPr>
        <w:noProof/>
      </w:rPr>
      <mc:AlternateContent>
        <mc:Choice Requires="wpg">
          <w:drawing>
            <wp:anchor distT="114300" distB="114300" distL="114300" distR="114300" simplePos="0" relativeHeight="251658240" behindDoc="1" locked="0" layoutInCell="1" allowOverlap="1" wp14:anchorId="5C18C94B" wp14:editId="3DEF181D">
              <wp:simplePos x="0" y="0"/>
              <wp:positionH relativeFrom="column">
                <wp:posOffset>4848225</wp:posOffset>
              </wp:positionH>
              <wp:positionV relativeFrom="paragraph">
                <wp:posOffset>-136524</wp:posOffset>
              </wp:positionV>
              <wp:extent cx="1352550" cy="702623"/>
              <wp:effectExtent l="0" t="0" r="0" b="0"/>
              <wp:wrapNone/>
              <wp:docPr id="342044380" name="image1.jpg"/>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1"/>
                      <a:srcRect/>
                      <a:stretch/>
                    </pic:blipFill>
                    <pic:spPr bwMode="auto">
                      <a:xfrm>
                        <a:off x="0" y="0"/>
                        <a:ext cx="1352550" cy="702623"/>
                      </a:xfrm>
                      <a:prstGeom prst="rect">
                        <a:avLst/>
                      </a:prstGeom>
                      <a:ln/>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0;o:allowoverlap:true;o:allowincell:true;mso-position-horizontal-relative:text;margin-left:381.75pt;mso-position-horizontal:absolute;mso-position-vertical-relative:text;margin-top:-10.75pt;mso-position-vertical:absolute;width:106.50pt;height:55.32pt;mso-wrap-distance-left:9.00pt;mso-wrap-distance-top:9.00pt;mso-wrap-distance-right:9.00pt;mso-wrap-distance-bottom:9.00pt;z-index:1;">
              <v:imagedata r:id="rId2" o:title="" croptop="0f" cropleft="0f" cropbottom="0f" cropright="0f"/>
              <o:lock v:ext="edit" rotation="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611F91"/>
    <w:multiLevelType w:val="hybridMultilevel"/>
    <w:tmpl w:val="6096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6E6366"/>
    <w:multiLevelType w:val="multilevel"/>
    <w:tmpl w:val="1F30D0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E976A33"/>
    <w:multiLevelType w:val="multilevel"/>
    <w:tmpl w:val="E4AE71C2"/>
    <w:lvl w:ilvl="0">
      <w:start w:val="1"/>
      <w:numFmt w:val="bullet"/>
      <w:lvlText w:val="·"/>
      <w:lvlJc w:val="left"/>
      <w:pPr>
        <w:ind w:left="992" w:hanging="360"/>
      </w:pPr>
      <w:rPr>
        <w:rFonts w:ascii="Symbol" w:eastAsia="Symbol" w:hAnsi="Symbol" w:cs="Symbol" w:hint="default"/>
      </w:rPr>
    </w:lvl>
    <w:lvl w:ilvl="1">
      <w:start w:val="1"/>
      <w:numFmt w:val="bullet"/>
      <w:lvlText w:val="o"/>
      <w:lvlJc w:val="left"/>
      <w:pPr>
        <w:ind w:left="1712" w:hanging="360"/>
      </w:pPr>
      <w:rPr>
        <w:rFonts w:ascii="Courier New" w:eastAsia="Courier New" w:hAnsi="Courier New" w:cs="Courier New" w:hint="default"/>
      </w:rPr>
    </w:lvl>
    <w:lvl w:ilvl="2">
      <w:start w:val="1"/>
      <w:numFmt w:val="bullet"/>
      <w:lvlText w:val="§"/>
      <w:lvlJc w:val="left"/>
      <w:pPr>
        <w:ind w:left="2432" w:hanging="360"/>
      </w:pPr>
      <w:rPr>
        <w:rFonts w:ascii="Wingdings" w:eastAsia="Wingdings" w:hAnsi="Wingdings" w:cs="Wingdings" w:hint="default"/>
      </w:rPr>
    </w:lvl>
    <w:lvl w:ilvl="3">
      <w:start w:val="1"/>
      <w:numFmt w:val="bullet"/>
      <w:lvlText w:val="·"/>
      <w:lvlJc w:val="left"/>
      <w:pPr>
        <w:ind w:left="3152" w:hanging="360"/>
      </w:pPr>
      <w:rPr>
        <w:rFonts w:ascii="Symbol" w:eastAsia="Symbol" w:hAnsi="Symbol" w:cs="Symbol" w:hint="default"/>
      </w:rPr>
    </w:lvl>
    <w:lvl w:ilvl="4">
      <w:start w:val="1"/>
      <w:numFmt w:val="bullet"/>
      <w:lvlText w:val="o"/>
      <w:lvlJc w:val="left"/>
      <w:pPr>
        <w:ind w:left="3872" w:hanging="360"/>
      </w:pPr>
      <w:rPr>
        <w:rFonts w:ascii="Courier New" w:eastAsia="Courier New" w:hAnsi="Courier New" w:cs="Courier New" w:hint="default"/>
      </w:rPr>
    </w:lvl>
    <w:lvl w:ilvl="5">
      <w:start w:val="1"/>
      <w:numFmt w:val="bullet"/>
      <w:lvlText w:val="§"/>
      <w:lvlJc w:val="left"/>
      <w:pPr>
        <w:ind w:left="4592" w:hanging="360"/>
      </w:pPr>
      <w:rPr>
        <w:rFonts w:ascii="Wingdings" w:eastAsia="Wingdings" w:hAnsi="Wingdings" w:cs="Wingdings" w:hint="default"/>
      </w:rPr>
    </w:lvl>
    <w:lvl w:ilvl="6">
      <w:start w:val="1"/>
      <w:numFmt w:val="bullet"/>
      <w:lvlText w:val="·"/>
      <w:lvlJc w:val="left"/>
      <w:pPr>
        <w:ind w:left="5312" w:hanging="360"/>
      </w:pPr>
      <w:rPr>
        <w:rFonts w:ascii="Symbol" w:eastAsia="Symbol" w:hAnsi="Symbol" w:cs="Symbol" w:hint="default"/>
      </w:rPr>
    </w:lvl>
    <w:lvl w:ilvl="7">
      <w:start w:val="1"/>
      <w:numFmt w:val="bullet"/>
      <w:lvlText w:val="o"/>
      <w:lvlJc w:val="left"/>
      <w:pPr>
        <w:ind w:left="6032" w:hanging="360"/>
      </w:pPr>
      <w:rPr>
        <w:rFonts w:ascii="Courier New" w:eastAsia="Courier New" w:hAnsi="Courier New" w:cs="Courier New" w:hint="default"/>
      </w:rPr>
    </w:lvl>
    <w:lvl w:ilvl="8">
      <w:start w:val="1"/>
      <w:numFmt w:val="bullet"/>
      <w:lvlText w:val="§"/>
      <w:lvlJc w:val="left"/>
      <w:pPr>
        <w:ind w:left="6752" w:hanging="360"/>
      </w:pPr>
      <w:rPr>
        <w:rFonts w:ascii="Wingdings" w:eastAsia="Wingdings" w:hAnsi="Wingdings" w:cs="Wingdings" w:hint="default"/>
      </w:rPr>
    </w:lvl>
  </w:abstractNum>
  <w:num w:numId="1" w16cid:durableId="1118330106">
    <w:abstractNumId w:val="1"/>
  </w:num>
  <w:num w:numId="2" w16cid:durableId="532889950">
    <w:abstractNumId w:val="2"/>
  </w:num>
  <w:num w:numId="3" w16cid:durableId="915943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BFB"/>
    <w:rsid w:val="00096DDB"/>
    <w:rsid w:val="002318FB"/>
    <w:rsid w:val="00295352"/>
    <w:rsid w:val="00370560"/>
    <w:rsid w:val="006C2BFB"/>
    <w:rsid w:val="006F5BB4"/>
    <w:rsid w:val="00930CFD"/>
    <w:rsid w:val="00A70890"/>
    <w:rsid w:val="00C81127"/>
    <w:rsid w:val="00EA171C"/>
    <w:rsid w:val="00ED3B2A"/>
    <w:rsid w:val="00F26843"/>
    <w:rsid w:val="00F47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3EBF2"/>
  <w15:docId w15:val="{D9C64005-2014-450A-9DEE-DDD5D7C6C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pPr>
      <w:keepNext/>
      <w:keepLines/>
      <w:spacing w:before="400" w:after="120"/>
      <w:outlineLvl w:val="0"/>
    </w:pPr>
    <w:rPr>
      <w:sz w:val="40"/>
      <w:szCs w:val="40"/>
    </w:rPr>
  </w:style>
  <w:style w:type="paragraph" w:styleId="Heading2">
    <w:name w:val="heading 2"/>
    <w:basedOn w:val="Normal"/>
    <w:next w:val="Normal"/>
    <w:link w:val="Heading2Char"/>
    <w:pPr>
      <w:keepNext/>
      <w:keepLines/>
      <w:spacing w:before="360" w:after="120"/>
      <w:outlineLvl w:val="1"/>
    </w:pPr>
    <w:rPr>
      <w:sz w:val="32"/>
      <w:szCs w:val="32"/>
    </w:rPr>
  </w:style>
  <w:style w:type="paragraph" w:styleId="Heading3">
    <w:name w:val="heading 3"/>
    <w:basedOn w:val="Normal"/>
    <w:next w:val="Normal"/>
    <w:link w:val="Heading3Char"/>
    <w:pPr>
      <w:keepNext/>
      <w:keepLines/>
      <w:spacing w:before="320" w:after="80"/>
      <w:outlineLvl w:val="2"/>
    </w:pPr>
    <w:rPr>
      <w:color w:val="434343"/>
      <w:sz w:val="28"/>
      <w:szCs w:val="28"/>
    </w:rPr>
  </w:style>
  <w:style w:type="paragraph" w:styleId="Heading4">
    <w:name w:val="heading 4"/>
    <w:basedOn w:val="Normal"/>
    <w:next w:val="Normal"/>
    <w:link w:val="Heading4Char"/>
    <w:pPr>
      <w:keepNext/>
      <w:keepLines/>
      <w:spacing w:before="280" w:after="80"/>
      <w:outlineLvl w:val="3"/>
    </w:pPr>
    <w:rPr>
      <w:color w:val="666666"/>
      <w:sz w:val="24"/>
      <w:szCs w:val="24"/>
    </w:rPr>
  </w:style>
  <w:style w:type="paragraph" w:styleId="Heading5">
    <w:name w:val="heading 5"/>
    <w:basedOn w:val="Normal"/>
    <w:next w:val="Normal"/>
    <w:link w:val="Heading5Char"/>
    <w:pPr>
      <w:keepNext/>
      <w:keepLines/>
      <w:spacing w:before="240" w:after="80"/>
      <w:outlineLvl w:val="4"/>
    </w:pPr>
    <w:rPr>
      <w:color w:val="666666"/>
    </w:rPr>
  </w:style>
  <w:style w:type="paragraph" w:styleId="Heading6">
    <w:name w:val="heading 6"/>
    <w:basedOn w:val="Normal"/>
    <w:next w:val="Normal"/>
    <w:link w:val="Heading6Char"/>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pPr>
      <w:keepNext/>
      <w:keepLines/>
      <w:spacing w:before="40"/>
      <w:outlineLvl w:val="6"/>
    </w:pPr>
    <w:rPr>
      <w:color w:val="595959" w:themeColor="text1" w:themeTint="A6"/>
    </w:rPr>
  </w:style>
  <w:style w:type="paragraph" w:styleId="Heading8">
    <w:name w:val="heading 8"/>
    <w:basedOn w:val="Normal"/>
    <w:next w:val="Normal"/>
    <w:link w:val="Heading8Char"/>
    <w:uiPriority w:val="9"/>
    <w:unhideWhenUsed/>
    <w:qFormat/>
    <w:pPr>
      <w:keepNext/>
      <w:keepLines/>
      <w:outlineLvl w:val="7"/>
    </w:pPr>
    <w:rPr>
      <w:i/>
      <w:iCs/>
      <w:color w:val="272727" w:themeColor="text1" w:themeTint="D8"/>
    </w:rPr>
  </w:style>
  <w:style w:type="paragraph" w:styleId="Heading9">
    <w:name w:val="heading 9"/>
    <w:basedOn w:val="Normal"/>
    <w:next w:val="Normal"/>
    <w:link w:val="Heading9Char"/>
    <w:uiPriority w:val="9"/>
    <w:unhideWhenUsed/>
    <w:qFormat/>
    <w:pPr>
      <w:keepNext/>
      <w:keepLines/>
      <w:outlineLvl w:val="8"/>
    </w:pPr>
    <w:rPr>
      <w:i/>
      <w:iCs/>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
    <w:name w:val="Grid Table 3"/>
    <w:basedOn w:val="TableNormal"/>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
    <w:name w:val="Grid Table 4"/>
    <w:basedOn w:val="TableNormal"/>
    <w:uiPriority w:val="59"/>
    <w:pPr>
      <w:spacing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
    <w:name w:val="Grid Table 5 Dark"/>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styleId="GridTable5Dark-Accent2">
    <w:name w:val="Grid Table 5 Dark Accent 2"/>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5Dark-Accent5">
    <w:name w:val="Grid Table 5 Dark Accent 5"/>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
    <w:name w:val="Grid Table 6 Colorful"/>
    <w:basedOn w:val="TableNormal"/>
    <w:uiPriority w:val="99"/>
    <w:pPr>
      <w:spacing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pPr>
      <w:spacing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pPr>
      <w:spacing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pPr>
      <w:spacing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pPr>
      <w:spacing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pPr>
      <w:spacing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pPr>
      <w:spacing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pPr>
      <w:spacing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pPr>
      <w:spacing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
    <w:name w:val="List Table 2"/>
    <w:basedOn w:val="TableNormal"/>
    <w:uiPriority w:val="99"/>
    <w:pPr>
      <w:spacing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pPr>
      <w:spacing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pPr>
      <w:spacing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pPr>
      <w:spacing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pPr>
      <w:spacing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pPr>
      <w:spacing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
    <w:name w:val="List Table 3"/>
    <w:basedOn w:val="TableNormal"/>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pPr>
      <w:spacing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pPr>
      <w:spacing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pPr>
      <w:spacing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
    <w:name w:val="List Table 5 Dark"/>
    <w:basedOn w:val="TableNormal"/>
    <w:uiPriority w:val="99"/>
    <w:pPr>
      <w:spacing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styleId="ListTable5Dark-Accent2">
    <w:name w:val="List Table 5 Dark Accent 2"/>
    <w:basedOn w:val="TableNormal"/>
    <w:uiPriority w:val="99"/>
    <w:pPr>
      <w:spacing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styleId="ListTable5Dark-Accent3">
    <w:name w:val="List Table 5 Dark Accent 3"/>
    <w:basedOn w:val="TableNormal"/>
    <w:uiPriority w:val="99"/>
    <w:pPr>
      <w:spacing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styleId="ListTable5Dark-Accent4">
    <w:name w:val="List Table 5 Dark Accent 4"/>
    <w:basedOn w:val="TableNormal"/>
    <w:uiPriority w:val="99"/>
    <w:pPr>
      <w:spacing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styleId="ListTable5Dark-Accent5">
    <w:name w:val="List Table 5 Dark Accent 5"/>
    <w:basedOn w:val="TableNormal"/>
    <w:uiPriority w:val="99"/>
    <w:pPr>
      <w:spacing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styleId="ListTable5Dark-Accent6">
    <w:name w:val="List Table 5 Dark Accent 6"/>
    <w:basedOn w:val="TableNormal"/>
    <w:uiPriority w:val="99"/>
    <w:pPr>
      <w:spacing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
    <w:name w:val="List Table 6 Colorful"/>
    <w:basedOn w:val="TableNormal"/>
    <w:uiPriority w:val="9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pPr>
      <w:spacing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pPr>
      <w:spacing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pPr>
      <w:spacing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pPr>
      <w:spacing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pPr>
      <w:spacing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pPr>
      <w:spacing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pPr>
      <w:spacing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pPr>
      <w:spacing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pPr>
      <w:spacing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pPr>
      <w:spacing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Normal"/>
    <w:uiPriority w:val="99"/>
    <w:pPr>
      <w:spacing w:line="240" w:lineRule="auto"/>
    </w:pPr>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line="240" w:lineRule="auto"/>
    </w:pPr>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Normal"/>
    <w:uiPriority w:val="99"/>
    <w:pPr>
      <w:spacing w:line="240" w:lineRule="auto"/>
    </w:pPr>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Normal"/>
    <w:uiPriority w:val="99"/>
    <w:pPr>
      <w:spacing w:line="240" w:lineRule="auto"/>
    </w:pPr>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Normal"/>
    <w:uiPriority w:val="99"/>
    <w:pPr>
      <w:spacing w:line="240" w:lineRule="auto"/>
    </w:pPr>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Normal"/>
    <w:uiPriority w:val="99"/>
    <w:pPr>
      <w:spacing w:line="240" w:lineRule="auto"/>
    </w:pPr>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Normal"/>
    <w:uiPriority w:val="99"/>
    <w:pPr>
      <w:spacing w:line="240" w:lineRule="auto"/>
    </w:pPr>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Normal"/>
    <w:uiPriority w:val="99"/>
    <w:pPr>
      <w:spacing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Heading1Char">
    <w:name w:val="Heading 1 Char"/>
    <w:basedOn w:val="DefaultParagraphFont"/>
    <w:link w:val="Heading1"/>
    <w:uiPriority w:val="9"/>
    <w:rPr>
      <w:rFonts w:ascii="Arial" w:eastAsia="Arial" w:hAnsi="Arial" w:cs="Arial"/>
      <w:color w:val="365F91" w:themeColor="accent1" w:themeShade="BF"/>
      <w:sz w:val="40"/>
      <w:szCs w:val="40"/>
    </w:rPr>
  </w:style>
  <w:style w:type="character" w:customStyle="1" w:styleId="Heading2Char">
    <w:name w:val="Heading 2 Char"/>
    <w:basedOn w:val="DefaultParagraphFont"/>
    <w:link w:val="Heading2"/>
    <w:uiPriority w:val="9"/>
    <w:rPr>
      <w:rFonts w:ascii="Arial" w:eastAsia="Arial" w:hAnsi="Arial" w:cs="Arial"/>
      <w:color w:val="365F91" w:themeColor="accent1" w:themeShade="BF"/>
      <w:sz w:val="32"/>
      <w:szCs w:val="32"/>
    </w:rPr>
  </w:style>
  <w:style w:type="character" w:customStyle="1" w:styleId="Heading3Char">
    <w:name w:val="Heading 3 Char"/>
    <w:basedOn w:val="DefaultParagraphFont"/>
    <w:link w:val="Heading3"/>
    <w:uiPriority w:val="9"/>
    <w:rPr>
      <w:rFonts w:ascii="Arial" w:eastAsia="Arial" w:hAnsi="Arial" w:cs="Arial"/>
      <w:color w:val="365F91" w:themeColor="accent1" w:themeShade="BF"/>
      <w:sz w:val="28"/>
      <w:szCs w:val="28"/>
    </w:rPr>
  </w:style>
  <w:style w:type="character" w:customStyle="1" w:styleId="Heading4Char">
    <w:name w:val="Heading 4 Char"/>
    <w:basedOn w:val="DefaultParagraphFont"/>
    <w:link w:val="Heading4"/>
    <w:uiPriority w:val="9"/>
    <w:rPr>
      <w:rFonts w:ascii="Arial" w:eastAsia="Arial" w:hAnsi="Arial" w:cs="Arial"/>
      <w:i/>
      <w:iCs/>
      <w:color w:val="365F91" w:themeColor="accent1" w:themeShade="BF"/>
    </w:rPr>
  </w:style>
  <w:style w:type="character" w:customStyle="1" w:styleId="Heading5Char">
    <w:name w:val="Heading 5 Char"/>
    <w:basedOn w:val="DefaultParagraphFont"/>
    <w:link w:val="Heading5"/>
    <w:uiPriority w:val="9"/>
    <w:rPr>
      <w:rFonts w:ascii="Arial" w:eastAsia="Arial" w:hAnsi="Arial" w:cs="Arial"/>
      <w:color w:val="365F91" w:themeColor="accent1" w:themeShade="BF"/>
    </w:rPr>
  </w:style>
  <w:style w:type="character" w:customStyle="1" w:styleId="Heading6Char">
    <w:name w:val="Heading 6 Char"/>
    <w:basedOn w:val="DefaultParagraphFont"/>
    <w:link w:val="Heading6"/>
    <w:uiPriority w:val="9"/>
    <w:rPr>
      <w:rFonts w:ascii="Arial" w:eastAsia="Arial" w:hAnsi="Arial" w:cs="Arial"/>
      <w:i/>
      <w:iCs/>
      <w:color w:val="595959" w:themeColor="text1" w:themeTint="A6"/>
    </w:rPr>
  </w:style>
  <w:style w:type="character" w:customStyle="1" w:styleId="Heading7Char">
    <w:name w:val="Heading 7 Char"/>
    <w:basedOn w:val="DefaultParagraphFont"/>
    <w:link w:val="Heading7"/>
    <w:uiPriority w:val="9"/>
    <w:rPr>
      <w:rFonts w:ascii="Arial" w:eastAsia="Arial" w:hAnsi="Arial" w:cs="Arial"/>
      <w:color w:val="595959" w:themeColor="text1" w:themeTint="A6"/>
    </w:rPr>
  </w:style>
  <w:style w:type="character" w:customStyle="1" w:styleId="Heading8Char">
    <w:name w:val="Heading 8 Char"/>
    <w:basedOn w:val="DefaultParagraphFont"/>
    <w:link w:val="Heading8"/>
    <w:uiPriority w:val="9"/>
    <w:rPr>
      <w:rFonts w:ascii="Arial" w:eastAsia="Arial" w:hAnsi="Arial" w:cs="Arial"/>
      <w:i/>
      <w:iCs/>
      <w:color w:val="272727" w:themeColor="text1" w:themeTint="D8"/>
    </w:rPr>
  </w:style>
  <w:style w:type="character" w:customStyle="1" w:styleId="Heading9Char">
    <w:name w:val="Heading 9 Char"/>
    <w:basedOn w:val="DefaultParagraphFont"/>
    <w:link w:val="Heading9"/>
    <w:uiPriority w:val="9"/>
    <w:rPr>
      <w:rFonts w:ascii="Arial" w:eastAsia="Arial" w:hAnsi="Arial" w:cs="Arial"/>
      <w:i/>
      <w:iCs/>
      <w:color w:val="272727" w:themeColor="text1" w:themeTint="D8"/>
    </w:rPr>
  </w:style>
  <w:style w:type="character" w:customStyle="1" w:styleId="TitleChar">
    <w:name w:val="Title Char"/>
    <w:basedOn w:val="DefaultParagraphFont"/>
    <w:link w:val="Title"/>
    <w:uiPriority w:val="10"/>
    <w:rPr>
      <w:rFonts w:ascii="Arial" w:eastAsia="Arial" w:hAnsi="Arial" w:cs="Arial"/>
      <w:spacing w:val="-10"/>
      <w:sz w:val="56"/>
      <w:szCs w:val="56"/>
    </w:rPr>
  </w:style>
  <w:style w:type="character" w:customStyle="1" w:styleId="SubtitleChar">
    <w:name w:val="Subtitle Char"/>
    <w:basedOn w:val="DefaultParagraphFont"/>
    <w:link w:val="Subtitle"/>
    <w:uiPriority w:val="11"/>
    <w:rPr>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365F91" w:themeColor="accent1" w:themeShade="BF"/>
    </w:rPr>
  </w:style>
  <w:style w:type="paragraph" w:styleId="IntenseQuote">
    <w:name w:val="Intense Quote"/>
    <w:basedOn w:val="Normal"/>
    <w:next w:val="Normal"/>
    <w:link w:val="IntenseQuoteChar"/>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Pr>
      <w:i/>
      <w:iCs/>
      <w:color w:val="365F91" w:themeColor="accent1" w:themeShade="BF"/>
    </w:rPr>
  </w:style>
  <w:style w:type="character" w:styleId="IntenseReference">
    <w:name w:val="Intense Reference"/>
    <w:basedOn w:val="DefaultParagraphFont"/>
    <w:uiPriority w:val="32"/>
    <w:qFormat/>
    <w:rPr>
      <w:b/>
      <w:bCs/>
      <w:smallCaps/>
      <w:color w:val="365F91" w:themeColor="accent1" w:themeShade="BF"/>
      <w:spacing w:val="5"/>
    </w:rPr>
  </w:style>
  <w:style w:type="paragraph" w:styleId="NoSpacing">
    <w:name w:val="No Spacing"/>
    <w:basedOn w:val="Normal"/>
    <w:uiPriority w:val="1"/>
    <w:qFormat/>
    <w:pPr>
      <w:spacing w:line="240" w:lineRule="auto"/>
    </w:p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styleId="BookTitle">
    <w:name w:val="Book Title"/>
    <w:basedOn w:val="DefaultParagraphFont"/>
    <w:uiPriority w:val="33"/>
    <w:qFormat/>
    <w:rPr>
      <w:b/>
      <w:bCs/>
      <w:i/>
      <w:iCs/>
      <w:spacing w:val="5"/>
    </w:rPr>
  </w:style>
  <w:style w:type="paragraph" w:styleId="Header">
    <w:name w:val="header"/>
    <w:basedOn w:val="Normal"/>
    <w:link w:val="HeaderChar"/>
    <w:uiPriority w:val="99"/>
    <w:unhideWhenUsed/>
    <w:pPr>
      <w:tabs>
        <w:tab w:val="center" w:pos="4844"/>
        <w:tab w:val="right" w:pos="9689"/>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844"/>
        <w:tab w:val="right" w:pos="9689"/>
      </w:tabs>
      <w:spacing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line="240" w:lineRule="auto"/>
    </w:pPr>
    <w:rPr>
      <w:i/>
      <w:iCs/>
      <w:color w:val="1F497D" w:themeColor="text2"/>
      <w:sz w:val="18"/>
      <w:szCs w:val="18"/>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Pr>
      <w:color w:val="800080" w:themeColor="followedHyperlink"/>
      <w:u w:val="single"/>
    </w:rPr>
  </w:style>
  <w:style w:type="paragraph" w:styleId="TOC1">
    <w:name w:val="toc 1"/>
    <w:basedOn w:val="Normal"/>
    <w:next w:val="Normal"/>
    <w:uiPriority w:val="39"/>
    <w:unhideWhenUsed/>
    <w:pPr>
      <w:spacing w:after="100"/>
    </w:pPr>
  </w:style>
  <w:style w:type="paragraph" w:styleId="TOC2">
    <w:name w:val="toc 2"/>
    <w:basedOn w:val="Normal"/>
    <w:next w:val="Normal"/>
    <w:uiPriority w:val="39"/>
    <w:unhideWhenUsed/>
    <w:pPr>
      <w:spacing w:after="100"/>
      <w:ind w:left="220"/>
    </w:pPr>
  </w:style>
  <w:style w:type="paragraph" w:styleId="TOC3">
    <w:name w:val="toc 3"/>
    <w:basedOn w:val="Normal"/>
    <w:next w:val="Normal"/>
    <w:uiPriority w:val="39"/>
    <w:unhideWhenUsed/>
    <w:pPr>
      <w:spacing w:after="100"/>
      <w:ind w:left="440"/>
    </w:pPr>
  </w:style>
  <w:style w:type="paragraph" w:styleId="TOC4">
    <w:name w:val="toc 4"/>
    <w:basedOn w:val="Normal"/>
    <w:next w:val="Normal"/>
    <w:uiPriority w:val="39"/>
    <w:unhideWhenUsed/>
    <w:pPr>
      <w:spacing w:after="100"/>
      <w:ind w:left="660"/>
    </w:pPr>
  </w:style>
  <w:style w:type="paragraph" w:styleId="TOC5">
    <w:name w:val="toc 5"/>
    <w:basedOn w:val="Normal"/>
    <w:next w:val="Normal"/>
    <w:uiPriority w:val="39"/>
    <w:unhideWhenUsed/>
    <w:pPr>
      <w:spacing w:after="100"/>
      <w:ind w:left="880"/>
    </w:pPr>
  </w:style>
  <w:style w:type="paragraph" w:styleId="TOC6">
    <w:name w:val="toc 6"/>
    <w:basedOn w:val="Normal"/>
    <w:next w:val="Normal"/>
    <w:uiPriority w:val="39"/>
    <w:unhideWhenUsed/>
    <w:pPr>
      <w:spacing w:after="100"/>
      <w:ind w:left="1100"/>
    </w:pPr>
  </w:style>
  <w:style w:type="paragraph" w:styleId="TOC7">
    <w:name w:val="toc 7"/>
    <w:basedOn w:val="Normal"/>
    <w:next w:val="Normal"/>
    <w:uiPriority w:val="39"/>
    <w:unhideWhenUsed/>
    <w:pPr>
      <w:spacing w:after="100"/>
      <w:ind w:left="1320"/>
    </w:pPr>
  </w:style>
  <w:style w:type="paragraph" w:styleId="TOC8">
    <w:name w:val="toc 8"/>
    <w:basedOn w:val="Normal"/>
    <w:next w:val="Normal"/>
    <w:uiPriority w:val="39"/>
    <w:unhideWhenUsed/>
    <w:pPr>
      <w:spacing w:after="100"/>
      <w:ind w:left="1540"/>
    </w:pPr>
  </w:style>
  <w:style w:type="paragraph" w:styleId="TOC9">
    <w:name w:val="toc 9"/>
    <w:basedOn w:val="Normal"/>
    <w:next w:val="Normal"/>
    <w:uiPriority w:val="39"/>
    <w:unhideWhenUsed/>
    <w:pPr>
      <w:spacing w:after="100"/>
      <w:ind w:left="1760"/>
    </w:pPr>
  </w:style>
  <w:style w:type="paragraph" w:styleId="TOCHeading">
    <w:name w:val="TOC Heading"/>
    <w:uiPriority w:val="39"/>
    <w:unhideWhenUsed/>
  </w:style>
  <w:style w:type="paragraph" w:styleId="TableofFigures">
    <w:name w:val="table of figures"/>
    <w:basedOn w:val="Normal"/>
    <w:next w:val="Normal"/>
    <w:uiPriority w:val="99"/>
    <w:unhideWhenUsed/>
  </w:style>
  <w:style w:type="paragraph" w:styleId="Title">
    <w:name w:val="Title"/>
    <w:basedOn w:val="Normal"/>
    <w:next w:val="Normal"/>
    <w:link w:val="TitleChar"/>
    <w:pPr>
      <w:keepNext/>
      <w:keepLines/>
      <w:spacing w:after="60"/>
    </w:pPr>
    <w:rPr>
      <w:sz w:val="52"/>
      <w:szCs w:val="52"/>
    </w:rPr>
  </w:style>
  <w:style w:type="paragraph" w:styleId="Subtitle">
    <w:name w:val="Subtitle"/>
    <w:basedOn w:val="Normal"/>
    <w:next w:val="Normal"/>
    <w:link w:val="SubtitleChar"/>
    <w:pPr>
      <w:keepNext/>
      <w:keepLines/>
      <w:spacing w:after="320"/>
    </w:pPr>
    <w:rPr>
      <w:color w:val="666666"/>
      <w:sz w:val="30"/>
      <w:szCs w:val="30"/>
    </w:rPr>
  </w:style>
  <w:style w:type="table" w:customStyle="1" w:styleId="StGen0">
    <w:name w:val="StGen0"/>
    <w:basedOn w:val="TableNormal"/>
    <w:tblPr>
      <w:tblStyleRowBandSize w:val="1"/>
      <w:tblStyleColBandSize w:val="1"/>
      <w:tblCellMar>
        <w:top w:w="100" w:type="dxa"/>
        <w:left w:w="100" w:type="dxa"/>
        <w:bottom w:w="100" w:type="dxa"/>
        <w:right w:w="100" w:type="dxa"/>
      </w:tblCellMar>
    </w:tblPr>
    <w:tcPr>
      <w:shd w:val="clear" w:color="auto" w:fill="FFFFFF"/>
    </w:tcPr>
  </w:style>
  <w:style w:type="character" w:styleId="UnresolvedMention">
    <w:name w:val="Unresolved Mention"/>
    <w:basedOn w:val="DefaultParagraphFont"/>
    <w:uiPriority w:val="99"/>
    <w:semiHidden/>
    <w:unhideWhenUsed/>
    <w:rsid w:val="00ED3B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040616">
      <w:bodyDiv w:val="1"/>
      <w:marLeft w:val="0"/>
      <w:marRight w:val="0"/>
      <w:marTop w:val="0"/>
      <w:marBottom w:val="0"/>
      <w:divBdr>
        <w:top w:val="none" w:sz="0" w:space="0" w:color="auto"/>
        <w:left w:val="none" w:sz="0" w:space="0" w:color="auto"/>
        <w:bottom w:val="none" w:sz="0" w:space="0" w:color="auto"/>
        <w:right w:val="none" w:sz="0" w:space="0" w:color="auto"/>
      </w:divBdr>
    </w:div>
    <w:div w:id="990519951">
      <w:bodyDiv w:val="1"/>
      <w:marLeft w:val="0"/>
      <w:marRight w:val="0"/>
      <w:marTop w:val="0"/>
      <w:marBottom w:val="0"/>
      <w:divBdr>
        <w:top w:val="none" w:sz="0" w:space="0" w:color="auto"/>
        <w:left w:val="none" w:sz="0" w:space="0" w:color="auto"/>
        <w:bottom w:val="none" w:sz="0" w:space="0" w:color="auto"/>
        <w:right w:val="none" w:sz="0" w:space="0" w:color="auto"/>
      </w:divBdr>
    </w:div>
    <w:div w:id="992486573">
      <w:bodyDiv w:val="1"/>
      <w:marLeft w:val="0"/>
      <w:marRight w:val="0"/>
      <w:marTop w:val="0"/>
      <w:marBottom w:val="0"/>
      <w:divBdr>
        <w:top w:val="none" w:sz="0" w:space="0" w:color="auto"/>
        <w:left w:val="none" w:sz="0" w:space="0" w:color="auto"/>
        <w:bottom w:val="none" w:sz="0" w:space="0" w:color="auto"/>
        <w:right w:val="none" w:sz="0" w:space="0" w:color="auto"/>
      </w:divBdr>
    </w:div>
    <w:div w:id="1017124829">
      <w:bodyDiv w:val="1"/>
      <w:marLeft w:val="0"/>
      <w:marRight w:val="0"/>
      <w:marTop w:val="0"/>
      <w:marBottom w:val="0"/>
      <w:divBdr>
        <w:top w:val="none" w:sz="0" w:space="0" w:color="auto"/>
        <w:left w:val="none" w:sz="0" w:space="0" w:color="auto"/>
        <w:bottom w:val="none" w:sz="0" w:space="0" w:color="auto"/>
        <w:right w:val="none" w:sz="0" w:space="0" w:color="auto"/>
      </w:divBdr>
    </w:div>
    <w:div w:id="1467970650">
      <w:bodyDiv w:val="1"/>
      <w:marLeft w:val="0"/>
      <w:marRight w:val="0"/>
      <w:marTop w:val="0"/>
      <w:marBottom w:val="0"/>
      <w:divBdr>
        <w:top w:val="none" w:sz="0" w:space="0" w:color="auto"/>
        <w:left w:val="none" w:sz="0" w:space="0" w:color="auto"/>
        <w:bottom w:val="none" w:sz="0" w:space="0" w:color="auto"/>
        <w:right w:val="none" w:sz="0" w:space="0" w:color="auto"/>
      </w:divBdr>
    </w:div>
    <w:div w:id="1503158380">
      <w:bodyDiv w:val="1"/>
      <w:marLeft w:val="0"/>
      <w:marRight w:val="0"/>
      <w:marTop w:val="0"/>
      <w:marBottom w:val="0"/>
      <w:divBdr>
        <w:top w:val="none" w:sz="0" w:space="0" w:color="auto"/>
        <w:left w:val="none" w:sz="0" w:space="0" w:color="auto"/>
        <w:bottom w:val="none" w:sz="0" w:space="0" w:color="auto"/>
        <w:right w:val="none" w:sz="0" w:space="0" w:color="auto"/>
      </w:divBdr>
    </w:div>
    <w:div w:id="1623417166">
      <w:bodyDiv w:val="1"/>
      <w:marLeft w:val="0"/>
      <w:marRight w:val="0"/>
      <w:marTop w:val="0"/>
      <w:marBottom w:val="0"/>
      <w:divBdr>
        <w:top w:val="none" w:sz="0" w:space="0" w:color="auto"/>
        <w:left w:val="none" w:sz="0" w:space="0" w:color="auto"/>
        <w:bottom w:val="none" w:sz="0" w:space="0" w:color="auto"/>
        <w:right w:val="none" w:sz="0" w:space="0" w:color="auto"/>
      </w:divBdr>
    </w:div>
    <w:div w:id="1839081035">
      <w:bodyDiv w:val="1"/>
      <w:marLeft w:val="0"/>
      <w:marRight w:val="0"/>
      <w:marTop w:val="0"/>
      <w:marBottom w:val="0"/>
      <w:divBdr>
        <w:top w:val="none" w:sz="0" w:space="0" w:color="auto"/>
        <w:left w:val="none" w:sz="0" w:space="0" w:color="auto"/>
        <w:bottom w:val="none" w:sz="0" w:space="0" w:color="auto"/>
        <w:right w:val="none" w:sz="0" w:space="0" w:color="auto"/>
      </w:divBdr>
    </w:div>
    <w:div w:id="1993439765">
      <w:bodyDiv w:val="1"/>
      <w:marLeft w:val="0"/>
      <w:marRight w:val="0"/>
      <w:marTop w:val="0"/>
      <w:marBottom w:val="0"/>
      <w:divBdr>
        <w:top w:val="none" w:sz="0" w:space="0" w:color="auto"/>
        <w:left w:val="none" w:sz="0" w:space="0" w:color="auto"/>
        <w:bottom w:val="none" w:sz="0" w:space="0" w:color="auto"/>
        <w:right w:val="none" w:sz="0" w:space="0" w:color="auto"/>
      </w:divBdr>
    </w:div>
    <w:div w:id="2104522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etanoiastudies.org/metanoia-symposium-2025-proposal-submission-form/" TargetMode="External"/><Relationship Id="rId13" Type="http://schemas.openxmlformats.org/officeDocument/2006/relationships/hyperlink" Target="https://doi.org/10.1126/science.adi1778" TargetMode="External"/><Relationship Id="rId18" Type="http://schemas.openxmlformats.org/officeDocument/2006/relationships/hyperlink" Target="https://doi.org/10.4159/9780674054158"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doi.org/10.1093/ips/olz021" TargetMode="External"/><Relationship Id="rId7" Type="http://schemas.openxmlformats.org/officeDocument/2006/relationships/hyperlink" Target="https://metanoiastudies.org/metanoia-symposium-2025-proposal-submission-form/" TargetMode="External"/><Relationship Id="rId12" Type="http://schemas.openxmlformats.org/officeDocument/2006/relationships/hyperlink" Target="https://doi.org/10.1163/9789004501775" TargetMode="External"/><Relationship Id="rId17" Type="http://schemas.openxmlformats.org/officeDocument/2006/relationships/hyperlink" Target="https://doi.org/10.1162/qss_a_00056"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oi.org/10.1007/s11098-018-01235-3" TargetMode="External"/><Relationship Id="rId20" Type="http://schemas.openxmlformats.org/officeDocument/2006/relationships/hyperlink" Target="https://doi.org/10.1177/08912416062988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2307/2111554" TargetMode="External"/><Relationship Id="rId24" Type="http://schemas.openxmlformats.org/officeDocument/2006/relationships/hyperlink" Target="https://doi.org/10.1080/14680777.2022.2075909" TargetMode="External"/><Relationship Id="rId5" Type="http://schemas.openxmlformats.org/officeDocument/2006/relationships/footnotes" Target="footnotes.xml"/><Relationship Id="rId15" Type="http://schemas.openxmlformats.org/officeDocument/2006/relationships/hyperlink" Target="https://doi.org/10.4000/lisa.1140" TargetMode="External"/><Relationship Id="rId23" Type="http://schemas.openxmlformats.org/officeDocument/2006/relationships/hyperlink" Target="https://pmc.ncbi.nlm.nih.gov/articles/PMC9069645/" TargetMode="External"/><Relationship Id="rId28" Type="http://schemas.openxmlformats.org/officeDocument/2006/relationships/theme" Target="theme/theme1.xml"/><Relationship Id="rId10" Type="http://schemas.openxmlformats.org/officeDocument/2006/relationships/hyperlink" Target="https://doi.org/10.1023/A:1023344412661" TargetMode="External"/><Relationship Id="rId19" Type="http://schemas.openxmlformats.org/officeDocument/2006/relationships/hyperlink" Target="https://doi.org/10.1177/106591299805100308" TargetMode="External"/><Relationship Id="rId4" Type="http://schemas.openxmlformats.org/officeDocument/2006/relationships/webSettings" Target="webSettings.xml"/><Relationship Id="rId9" Type="http://schemas.openxmlformats.org/officeDocument/2006/relationships/hyperlink" Target="mailto:alexis.delaferriere@gmail.com" TargetMode="External"/><Relationship Id="rId14" Type="http://schemas.openxmlformats.org/officeDocument/2006/relationships/hyperlink" Target="https://doi.org/10.3390/socsci3010071" TargetMode="External"/><Relationship Id="rId22" Type="http://schemas.openxmlformats.org/officeDocument/2006/relationships/hyperlink" Target="https://doi.org/10.1111/1467-6486.00068"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3815</Words>
  <Characters>21747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Artaud de la Ferriere, Alexis</cp:lastModifiedBy>
  <cp:revision>4</cp:revision>
  <dcterms:created xsi:type="dcterms:W3CDTF">2025-04-30T11:09:00Z</dcterms:created>
  <dcterms:modified xsi:type="dcterms:W3CDTF">2025-04-30T11:40:00Z</dcterms:modified>
</cp:coreProperties>
</file>